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1437B" w14:textId="7691B58F" w:rsidR="00331D64" w:rsidRPr="00A20317" w:rsidRDefault="00331D64" w:rsidP="00331D64">
      <w:pPr>
        <w:pStyle w:val="Heading3"/>
        <w:spacing w:before="281" w:after="281" w:line="276" w:lineRule="auto"/>
        <w:ind w:left="4248"/>
        <w:jc w:val="right"/>
        <w:rPr>
          <w:rFonts w:eastAsia="Aptos" w:cs="Aptos"/>
          <w:b/>
          <w:bCs/>
        </w:rPr>
      </w:pPr>
      <w:r w:rsidRPr="00A20317">
        <w:rPr>
          <w:rFonts w:eastAsia="Aptos" w:cs="Aptos"/>
          <w:b/>
          <w:bCs/>
          <w:noProof/>
        </w:rPr>
        <w:drawing>
          <wp:anchor distT="0" distB="0" distL="114300" distR="114300" simplePos="0" relativeHeight="251659264" behindDoc="0" locked="0" layoutInCell="1" allowOverlap="1" wp14:anchorId="799D8DC7" wp14:editId="2C55085A">
            <wp:simplePos x="0" y="0"/>
            <wp:positionH relativeFrom="column">
              <wp:posOffset>-197485</wp:posOffset>
            </wp:positionH>
            <wp:positionV relativeFrom="paragraph">
              <wp:posOffset>161933</wp:posOffset>
            </wp:positionV>
            <wp:extent cx="2070100" cy="990600"/>
            <wp:effectExtent l="0" t="0" r="0" b="0"/>
            <wp:wrapNone/>
            <wp:docPr id="904323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233"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70100" cy="990600"/>
                    </a:xfrm>
                    <a:prstGeom prst="rect">
                      <a:avLst/>
                    </a:prstGeom>
                  </pic:spPr>
                </pic:pic>
              </a:graphicData>
            </a:graphic>
            <wp14:sizeRelH relativeFrom="page">
              <wp14:pctWidth>0</wp14:pctWidth>
            </wp14:sizeRelH>
            <wp14:sizeRelV relativeFrom="page">
              <wp14:pctHeight>0</wp14:pctHeight>
            </wp14:sizeRelV>
          </wp:anchor>
        </w:drawing>
      </w:r>
      <w:r w:rsidRPr="00A20317">
        <w:rPr>
          <w:rFonts w:eastAsia="Aptos" w:cs="Aptos"/>
          <w:b/>
          <w:bCs/>
        </w:rPr>
        <w:t>Année académique 202</w:t>
      </w:r>
      <w:r w:rsidR="0051376C">
        <w:rPr>
          <w:rFonts w:eastAsia="Aptos" w:cs="Aptos"/>
          <w:b/>
          <w:bCs/>
        </w:rPr>
        <w:t>5</w:t>
      </w:r>
      <w:r w:rsidRPr="00A20317">
        <w:rPr>
          <w:rFonts w:eastAsia="Aptos" w:cs="Aptos"/>
          <w:b/>
          <w:bCs/>
        </w:rPr>
        <w:t>-202</w:t>
      </w:r>
      <w:r w:rsidR="0051376C">
        <w:rPr>
          <w:rFonts w:eastAsia="Aptos" w:cs="Aptos"/>
          <w:b/>
          <w:bCs/>
        </w:rPr>
        <w:t>6</w:t>
      </w:r>
    </w:p>
    <w:p w14:paraId="0066C8AA" w14:textId="379907F7" w:rsidR="00331D64" w:rsidRPr="00A20317" w:rsidRDefault="00F87C1C" w:rsidP="00331D64">
      <w:pPr>
        <w:spacing w:before="240" w:after="240" w:line="276" w:lineRule="auto"/>
        <w:ind w:left="4248"/>
        <w:jc w:val="right"/>
      </w:pPr>
      <w:r>
        <w:rPr>
          <w:rFonts w:eastAsia="Aptos" w:cs="Aptos"/>
          <w:b/>
          <w:bCs/>
        </w:rPr>
        <w:t>Département d’Études Interdépartementales (</w:t>
      </w:r>
      <w:proofErr w:type="spellStart"/>
      <w:r>
        <w:rPr>
          <w:rFonts w:eastAsia="Aptos" w:cs="Aptos"/>
          <w:b/>
          <w:bCs/>
        </w:rPr>
        <w:t>IDEAs</w:t>
      </w:r>
      <w:proofErr w:type="spellEnd"/>
      <w:r>
        <w:rPr>
          <w:rFonts w:eastAsia="Aptos" w:cs="Aptos"/>
          <w:b/>
          <w:bCs/>
        </w:rPr>
        <w:t>)</w:t>
      </w:r>
    </w:p>
    <w:p w14:paraId="022CD949" w14:textId="77777777" w:rsidR="00331D64" w:rsidRPr="00A20317" w:rsidRDefault="00331D64" w:rsidP="00331D64">
      <w:pPr>
        <w:spacing w:before="240" w:after="240" w:line="276" w:lineRule="auto"/>
        <w:ind w:left="4248"/>
        <w:jc w:val="right"/>
        <w:rPr>
          <w:rFonts w:eastAsia="Aptos" w:cs="Aptos"/>
          <w:b/>
          <w:bCs/>
        </w:rPr>
      </w:pPr>
      <w:r w:rsidRPr="00A20317">
        <w:rPr>
          <w:rFonts w:eastAsia="Aptos" w:cs="Aptos"/>
          <w:b/>
          <w:bCs/>
        </w:rPr>
        <w:t>Professeur : Didier Georgakakis</w:t>
      </w:r>
    </w:p>
    <w:p w14:paraId="0D98697D" w14:textId="77777777" w:rsidR="00331D64" w:rsidRPr="00A20317" w:rsidRDefault="00331D64" w:rsidP="00331D64">
      <w:pPr>
        <w:spacing w:before="240" w:after="240" w:line="276" w:lineRule="auto"/>
        <w:ind w:left="4248"/>
        <w:jc w:val="right"/>
      </w:pPr>
      <w:r w:rsidRPr="00A20317">
        <w:rPr>
          <w:rFonts w:eastAsia="Aptos" w:cs="Aptos"/>
          <w:b/>
          <w:bCs/>
        </w:rPr>
        <w:t>Assistante :  Marie Acabo</w:t>
      </w:r>
    </w:p>
    <w:p w14:paraId="2B13A975" w14:textId="77777777" w:rsidR="00331D64" w:rsidRPr="00A20317" w:rsidRDefault="00331D64" w:rsidP="00331D64">
      <w:pPr>
        <w:pStyle w:val="Heading3"/>
        <w:spacing w:before="281" w:after="281" w:line="276" w:lineRule="auto"/>
        <w:jc w:val="both"/>
        <w:rPr>
          <w:rFonts w:eastAsia="Aptos" w:cs="Aptos"/>
          <w:b/>
          <w:bCs/>
        </w:rPr>
      </w:pPr>
    </w:p>
    <w:p w14:paraId="2C58A4EA" w14:textId="77777777" w:rsidR="00331D64" w:rsidRPr="00A20317" w:rsidRDefault="00331D64" w:rsidP="00331D64">
      <w:pPr>
        <w:pStyle w:val="NoSpacing"/>
        <w:spacing w:line="276" w:lineRule="auto"/>
      </w:pPr>
    </w:p>
    <w:p w14:paraId="5FBB7810" w14:textId="399A1EA9" w:rsidR="00331D64" w:rsidRPr="00A20317" w:rsidRDefault="00331D64" w:rsidP="00331D64">
      <w:pPr>
        <w:pStyle w:val="Heading3"/>
        <w:spacing w:before="281" w:after="281" w:line="276" w:lineRule="auto"/>
        <w:jc w:val="both"/>
        <w:rPr>
          <w:rFonts w:eastAsiaTheme="minorEastAsia" w:cstheme="minorBidi"/>
          <w:b/>
          <w:bCs/>
        </w:rPr>
      </w:pPr>
      <w:r w:rsidRPr="00A20317">
        <w:rPr>
          <w:rFonts w:eastAsia="Aptos" w:cs="Aptos"/>
        </w:rPr>
        <w:t>Séminaire de recherche :</w:t>
      </w:r>
      <w:r w:rsidRPr="00A20317">
        <w:rPr>
          <w:rFonts w:eastAsia="Aptos" w:cs="Aptos"/>
          <w:b/>
          <w:bCs/>
        </w:rPr>
        <w:t xml:space="preserve"> Observatoire des carrières européennes </w:t>
      </w:r>
      <w:r>
        <w:rPr>
          <w:rFonts w:eastAsia="Aptos" w:cs="Aptos"/>
          <w:b/>
          <w:bCs/>
        </w:rPr>
        <w:t xml:space="preserve">/ </w:t>
      </w:r>
      <w:proofErr w:type="spellStart"/>
      <w:r w:rsidRPr="00331D64">
        <w:rPr>
          <w:rFonts w:eastAsia="Aptos" w:cs="Aptos"/>
          <w:b/>
          <w:bCs/>
        </w:rPr>
        <w:t>Research</w:t>
      </w:r>
      <w:proofErr w:type="spellEnd"/>
      <w:r w:rsidRPr="00331D64">
        <w:rPr>
          <w:rFonts w:eastAsia="Aptos" w:cs="Aptos"/>
          <w:b/>
          <w:bCs/>
        </w:rPr>
        <w:t xml:space="preserve"> </w:t>
      </w:r>
      <w:proofErr w:type="spellStart"/>
      <w:r w:rsidRPr="00331D64">
        <w:rPr>
          <w:rFonts w:eastAsia="Aptos" w:cs="Aptos"/>
          <w:b/>
          <w:bCs/>
        </w:rPr>
        <w:t>seminar</w:t>
      </w:r>
      <w:proofErr w:type="spellEnd"/>
      <w:r w:rsidRPr="00331D64">
        <w:rPr>
          <w:rFonts w:eastAsia="Aptos" w:cs="Aptos"/>
          <w:b/>
          <w:bCs/>
        </w:rPr>
        <w:t xml:space="preserve"> :</w:t>
      </w:r>
      <w:r w:rsidRPr="00A20317">
        <w:rPr>
          <w:rFonts w:eastAsia="Aptos" w:cs="Aptos"/>
          <w:b/>
          <w:bCs/>
        </w:rPr>
        <w:t xml:space="preserve"> EU </w:t>
      </w:r>
      <w:proofErr w:type="spellStart"/>
      <w:r w:rsidRPr="00A20317">
        <w:rPr>
          <w:rFonts w:eastAsia="Aptos" w:cs="Aptos"/>
          <w:b/>
          <w:bCs/>
        </w:rPr>
        <w:t>careers</w:t>
      </w:r>
      <w:proofErr w:type="spellEnd"/>
      <w:r w:rsidRPr="00A20317">
        <w:rPr>
          <w:rFonts w:eastAsia="Aptos" w:cs="Aptos"/>
          <w:b/>
          <w:bCs/>
        </w:rPr>
        <w:t xml:space="preserve"> </w:t>
      </w:r>
    </w:p>
    <w:p w14:paraId="35F9F835" w14:textId="77777777" w:rsidR="00331D64" w:rsidRPr="00A20317" w:rsidRDefault="00331D64" w:rsidP="00331D64">
      <w:pPr>
        <w:spacing w:line="276" w:lineRule="auto"/>
        <w:jc w:val="both"/>
      </w:pPr>
    </w:p>
    <w:p w14:paraId="51B3EB2F" w14:textId="77777777" w:rsidR="00331D64" w:rsidRPr="00A20317" w:rsidRDefault="00331D64" w:rsidP="00331D64">
      <w:pPr>
        <w:pStyle w:val="Heading3"/>
        <w:spacing w:before="281" w:after="281" w:line="276" w:lineRule="auto"/>
        <w:jc w:val="both"/>
      </w:pPr>
      <w:r w:rsidRPr="00A20317">
        <w:rPr>
          <w:rFonts w:eastAsia="Aptos" w:cs="Aptos"/>
          <w:b/>
          <w:bCs/>
        </w:rPr>
        <w:t>Objectifs et finalités du cours</w:t>
      </w:r>
    </w:p>
    <w:p w14:paraId="7E52536B" w14:textId="77777777" w:rsidR="00331D64" w:rsidRPr="00A20317" w:rsidRDefault="00331D64" w:rsidP="00331D64">
      <w:pPr>
        <w:spacing w:before="240" w:after="240" w:line="276" w:lineRule="auto"/>
        <w:jc w:val="both"/>
        <w:rPr>
          <w:rFonts w:eastAsia="Aptos" w:cs="Aptos"/>
        </w:rPr>
      </w:pPr>
      <w:r w:rsidRPr="00A20317">
        <w:rPr>
          <w:rFonts w:eastAsia="Aptos" w:cs="Aptos"/>
        </w:rPr>
        <w:t xml:space="preserve">Ce séminaire de recherche a pour but de fournir aux </w:t>
      </w:r>
      <w:proofErr w:type="spellStart"/>
      <w:r w:rsidRPr="00A20317">
        <w:rPr>
          <w:rFonts w:eastAsia="Aptos" w:cs="Aptos"/>
        </w:rPr>
        <w:t>étudiant·es</w:t>
      </w:r>
      <w:proofErr w:type="spellEnd"/>
      <w:r w:rsidRPr="00A20317">
        <w:rPr>
          <w:rFonts w:eastAsia="Aptos" w:cs="Aptos"/>
        </w:rPr>
        <w:t xml:space="preserve"> une connaissance approfondie des carrières européennes à partir d’une perspective de sociologie des professions, nourrie par les apports des autres disciplines du </w:t>
      </w:r>
      <w:proofErr w:type="spellStart"/>
      <w:r w:rsidRPr="00A20317">
        <w:rPr>
          <w:rFonts w:eastAsia="Aptos" w:cs="Aptos"/>
        </w:rPr>
        <w:t>College</w:t>
      </w:r>
      <w:proofErr w:type="spellEnd"/>
      <w:r w:rsidRPr="00A20317">
        <w:rPr>
          <w:rFonts w:eastAsia="Aptos" w:cs="Aptos"/>
        </w:rPr>
        <w:t xml:space="preserve">. </w:t>
      </w:r>
    </w:p>
    <w:p w14:paraId="37573EE9" w14:textId="77777777" w:rsidR="00331D64" w:rsidRPr="00A20317" w:rsidRDefault="00331D64" w:rsidP="00331D64">
      <w:pPr>
        <w:spacing w:before="240" w:after="240" w:line="276" w:lineRule="auto"/>
        <w:jc w:val="both"/>
        <w:rPr>
          <w:rFonts w:eastAsia="Aptos" w:cs="Aptos"/>
        </w:rPr>
      </w:pPr>
      <w:r w:rsidRPr="00A20317">
        <w:rPr>
          <w:rFonts w:eastAsia="Aptos" w:cs="Aptos"/>
        </w:rPr>
        <w:t xml:space="preserve">Le séminaire répond à deux objectifs : </w:t>
      </w:r>
    </w:p>
    <w:p w14:paraId="2915410B" w14:textId="77777777" w:rsidR="00331D64" w:rsidRPr="00A20317" w:rsidRDefault="00331D64" w:rsidP="00331D64">
      <w:pPr>
        <w:spacing w:before="240" w:after="240" w:line="276" w:lineRule="auto"/>
        <w:jc w:val="both"/>
        <w:rPr>
          <w:rFonts w:eastAsia="Aptos" w:cs="Aptos"/>
        </w:rPr>
      </w:pPr>
      <w:r w:rsidRPr="00A20317">
        <w:rPr>
          <w:rFonts w:eastAsia="Roboto" w:cs="Roboto"/>
        </w:rPr>
        <w:t xml:space="preserve">Il s'agit d’abord de compléter les connaissances des </w:t>
      </w:r>
      <w:proofErr w:type="spellStart"/>
      <w:r w:rsidRPr="00A20317">
        <w:rPr>
          <w:rFonts w:eastAsia="Roboto" w:cs="Roboto"/>
        </w:rPr>
        <w:t>étudiant·es</w:t>
      </w:r>
      <w:proofErr w:type="spellEnd"/>
      <w:r w:rsidRPr="00A20317">
        <w:rPr>
          <w:rFonts w:eastAsia="Roboto" w:cs="Roboto"/>
        </w:rPr>
        <w:t xml:space="preserve"> des différentes sections en livrant une grille d’analyse des individus et des groupes qui font les politiques de l’Union européenne au quotidien : qui sont les Commissaires et les députés, mais aussi et surtout tous ceux qui sont moins sur le devant de la scène politique : les fonctionnaires européens, les diplomates et fonctionnaires des États membres, les lobbyistes, les experts, les collaborateurs politiques, </w:t>
      </w:r>
      <w:r w:rsidRPr="00A20317">
        <w:rPr>
          <w:rFonts w:eastAsia="Roboto" w:cs="Roboto"/>
          <w:i/>
          <w:iCs/>
        </w:rPr>
        <w:t xml:space="preserve">public </w:t>
      </w:r>
      <w:proofErr w:type="spellStart"/>
      <w:r w:rsidRPr="00A20317">
        <w:rPr>
          <w:rFonts w:eastAsia="Roboto" w:cs="Roboto"/>
          <w:i/>
          <w:iCs/>
        </w:rPr>
        <w:t>affairs</w:t>
      </w:r>
      <w:proofErr w:type="spellEnd"/>
      <w:r w:rsidRPr="00A20317">
        <w:rPr>
          <w:rFonts w:eastAsia="Roboto" w:cs="Roboto"/>
        </w:rPr>
        <w:t>, les juristes européens, etc. ? De quoi est fait leur métier ? En quoi leurs structures professionnelles et/ou de carrière pèsent sur leur pouvoir relatif et les stratégies qu’ils déploient dans le jeu européen ?</w:t>
      </w:r>
    </w:p>
    <w:p w14:paraId="2F6D1904" w14:textId="77777777" w:rsidR="00331D64" w:rsidRPr="00A20317" w:rsidRDefault="00331D64" w:rsidP="00331D64">
      <w:pPr>
        <w:spacing w:before="240" w:after="240" w:line="276" w:lineRule="auto"/>
        <w:jc w:val="both"/>
        <w:rPr>
          <w:rFonts w:eastAsia="Aptos" w:cs="Aptos"/>
        </w:rPr>
      </w:pPr>
      <w:r w:rsidRPr="00A20317">
        <w:rPr>
          <w:rFonts w:eastAsia="Aptos" w:cs="Aptos"/>
        </w:rPr>
        <w:t xml:space="preserve">Il s’agit ensuite de produire des connaissances spécifiques sur une profession européenne particulière aux </w:t>
      </w:r>
      <w:proofErr w:type="spellStart"/>
      <w:r w:rsidRPr="00A20317">
        <w:rPr>
          <w:rFonts w:eastAsia="Aptos" w:cs="Aptos"/>
        </w:rPr>
        <w:t>étudiant·es</w:t>
      </w:r>
      <w:proofErr w:type="spellEnd"/>
      <w:r w:rsidRPr="00A20317">
        <w:rPr>
          <w:rFonts w:eastAsia="Aptos" w:cs="Aptos"/>
        </w:rPr>
        <w:t xml:space="preserve">, et ce par la réalisation de travaux de recherche de groupe. Par groupe, les </w:t>
      </w:r>
      <w:proofErr w:type="spellStart"/>
      <w:r w:rsidRPr="00A20317">
        <w:rPr>
          <w:rFonts w:eastAsia="Aptos" w:cs="Aptos"/>
        </w:rPr>
        <w:t>étudiant·es</w:t>
      </w:r>
      <w:proofErr w:type="spellEnd"/>
      <w:r w:rsidRPr="00A20317">
        <w:rPr>
          <w:rFonts w:eastAsia="Aptos" w:cs="Aptos"/>
        </w:rPr>
        <w:t xml:space="preserve"> récolteront des données de première main sur une profession européenne de leur choix (juristes de la Commission européenne, lobbyistes environnementaux, etc.) et les analyseront afin de contribuer à une meilleure connaissance des carrières européennes.  </w:t>
      </w:r>
    </w:p>
    <w:p w14:paraId="07657603" w14:textId="77777777" w:rsidR="00331D64" w:rsidRPr="00A20317" w:rsidRDefault="00331D64" w:rsidP="00331D64">
      <w:pPr>
        <w:spacing w:before="240" w:after="240" w:line="276" w:lineRule="auto"/>
        <w:jc w:val="both"/>
        <w:rPr>
          <w:rFonts w:eastAsia="Aptos" w:cs="Aptos"/>
        </w:rPr>
      </w:pPr>
      <w:r w:rsidRPr="00A20317">
        <w:rPr>
          <w:rFonts w:eastAsia="Aptos" w:cs="Aptos"/>
        </w:rPr>
        <w:lastRenderedPageBreak/>
        <w:t xml:space="preserve">Pédagogiquement, le cours permettra aux </w:t>
      </w:r>
      <w:proofErr w:type="spellStart"/>
      <w:r w:rsidRPr="00A20317">
        <w:rPr>
          <w:rFonts w:eastAsia="Aptos" w:cs="Aptos"/>
        </w:rPr>
        <w:t>étudiant·es</w:t>
      </w:r>
      <w:proofErr w:type="spellEnd"/>
      <w:r w:rsidRPr="00A20317">
        <w:rPr>
          <w:rFonts w:eastAsia="Aptos" w:cs="Aptos"/>
        </w:rPr>
        <w:t xml:space="preserve"> de développer de nouvelles compétences : techniques d'entretien scientifique, récolte et analyse de données, analyse conceptuelle, etc. Le cours leur permettra également d’approfondir leurs capacités rédactionnelles et de collaboration par la rédaction d’un rapport en groupe, qui a vocation à être publié en français ou en anglais selon le choix des </w:t>
      </w:r>
      <w:proofErr w:type="spellStart"/>
      <w:r w:rsidRPr="00A20317">
        <w:rPr>
          <w:rFonts w:eastAsia="Aptos" w:cs="Aptos"/>
        </w:rPr>
        <w:t>étudiant·es</w:t>
      </w:r>
      <w:proofErr w:type="spellEnd"/>
      <w:r w:rsidRPr="00A20317">
        <w:rPr>
          <w:rFonts w:eastAsia="Aptos" w:cs="Aptos"/>
        </w:rPr>
        <w:t xml:space="preserve"> dans les cahiers en ligne de l’observatoire. </w:t>
      </w:r>
    </w:p>
    <w:p w14:paraId="5A6D1679" w14:textId="22F7879F" w:rsidR="00331D64" w:rsidRPr="00A20317" w:rsidRDefault="00331D64" w:rsidP="00331D64">
      <w:pPr>
        <w:spacing w:before="240" w:after="240" w:line="276" w:lineRule="auto"/>
        <w:jc w:val="both"/>
        <w:rPr>
          <w:rFonts w:eastAsia="Aptos" w:cs="Aptos"/>
        </w:rPr>
      </w:pPr>
      <w:r w:rsidRPr="00A20317">
        <w:rPr>
          <w:rFonts w:eastAsia="Aptos" w:cs="Aptos"/>
        </w:rPr>
        <w:t xml:space="preserve">Professionnellement, le cours leur fournira un ensemble de connaissances pointues d’un milieu professionnel, des logiques de carrière, des enjeux spécifiques et des pratiques du métier, etc. De plus, l’enquête de terrain les amènera à nouer des contacts avec des professionnels de l’Europe en poste. Dans le cas où l’étudiant réalise le travail sur un profession qu’il souhaite exercer, l’enquête lui fournira une connaissance précieuse pour son orientation et ses premiers pas dans la bulle européenne et ou son </w:t>
      </w:r>
      <w:r w:rsidR="009F1AA2" w:rsidRPr="00A20317">
        <w:rPr>
          <w:rFonts w:eastAsia="Aptos" w:cs="Aptos"/>
        </w:rPr>
        <w:t>État</w:t>
      </w:r>
      <w:r w:rsidRPr="00A20317">
        <w:rPr>
          <w:rFonts w:eastAsia="Aptos" w:cs="Aptos"/>
        </w:rPr>
        <w:t xml:space="preserve"> d’origine.</w:t>
      </w:r>
    </w:p>
    <w:p w14:paraId="26040171" w14:textId="77777777" w:rsidR="00331D64" w:rsidRPr="00A20317" w:rsidRDefault="00331D64" w:rsidP="00331D64">
      <w:pPr>
        <w:spacing w:before="240" w:after="240" w:line="276" w:lineRule="auto"/>
        <w:jc w:val="both"/>
        <w:rPr>
          <w:rFonts w:eastAsia="Aptos" w:cs="Aptos"/>
        </w:rPr>
      </w:pPr>
    </w:p>
    <w:p w14:paraId="02B80B98" w14:textId="77777777" w:rsidR="00331D64" w:rsidRPr="00A20317" w:rsidRDefault="00331D64" w:rsidP="00331D64">
      <w:pPr>
        <w:pStyle w:val="Heading3"/>
        <w:spacing w:before="281" w:after="281" w:line="276" w:lineRule="auto"/>
        <w:jc w:val="both"/>
      </w:pPr>
      <w:r w:rsidRPr="00A20317">
        <w:rPr>
          <w:rFonts w:eastAsia="Aptos" w:cs="Aptos"/>
          <w:b/>
          <w:bCs/>
        </w:rPr>
        <w:t>Organisation</w:t>
      </w:r>
    </w:p>
    <w:p w14:paraId="69A17AE4" w14:textId="39036904" w:rsidR="00331D64" w:rsidRPr="00A20317" w:rsidRDefault="00331D64" w:rsidP="00331D64">
      <w:pPr>
        <w:spacing w:before="240" w:after="240" w:line="276" w:lineRule="auto"/>
        <w:jc w:val="both"/>
        <w:rPr>
          <w:rFonts w:eastAsia="Aptos" w:cs="Aptos"/>
        </w:rPr>
      </w:pPr>
      <w:r w:rsidRPr="00A20317">
        <w:rPr>
          <w:rFonts w:eastAsia="Aptos" w:cs="Aptos"/>
        </w:rPr>
        <w:t xml:space="preserve">A l’exception d’une séance introductive anticipée, le cours se déroulera durant le </w:t>
      </w:r>
      <w:r w:rsidRPr="00A20317">
        <w:rPr>
          <w:rFonts w:eastAsia="Aptos" w:cs="Aptos"/>
          <w:b/>
          <w:bCs/>
        </w:rPr>
        <w:t>2ème semestre</w:t>
      </w:r>
      <w:r w:rsidRPr="00A20317">
        <w:rPr>
          <w:rFonts w:eastAsia="Aptos" w:cs="Aptos"/>
        </w:rPr>
        <w:t xml:space="preserve"> et comprendra une combinaison de cours magistraux, d'interventions de professionnels externes et internes au Collège, ainsi que de séances de travail en groupe. Le séminaire sera dispensé en présentiel au Collège sur les créneaux haires des autres cours </w:t>
      </w:r>
      <w:r w:rsidR="00F87C1C">
        <w:rPr>
          <w:rFonts w:eastAsia="Aptos" w:cs="Aptos"/>
        </w:rPr>
        <w:t>IDEAS</w:t>
      </w:r>
      <w:r w:rsidRPr="00A20317">
        <w:rPr>
          <w:rFonts w:eastAsia="Aptos" w:cs="Aptos"/>
        </w:rPr>
        <w:t xml:space="preserve">. </w:t>
      </w:r>
    </w:p>
    <w:p w14:paraId="72F47144" w14:textId="77777777" w:rsidR="00331D64" w:rsidRPr="00A20317" w:rsidRDefault="00331D64" w:rsidP="00331D64">
      <w:pPr>
        <w:spacing w:before="240" w:after="240" w:line="276" w:lineRule="auto"/>
        <w:jc w:val="both"/>
      </w:pPr>
      <w:r w:rsidRPr="00A20317">
        <w:rPr>
          <w:rFonts w:eastAsia="Aptos" w:cs="Aptos"/>
        </w:rPr>
        <w:t>Le programme inclura :</w:t>
      </w:r>
    </w:p>
    <w:p w14:paraId="26AA38E3" w14:textId="04AA5147" w:rsidR="00331D64" w:rsidRPr="00A20317" w:rsidRDefault="00331D64" w:rsidP="00331D64">
      <w:pPr>
        <w:spacing w:after="0" w:line="276" w:lineRule="auto"/>
        <w:jc w:val="both"/>
        <w:rPr>
          <w:rFonts w:eastAsia="Aptos" w:cs="Aptos"/>
        </w:rPr>
      </w:pPr>
      <w:r w:rsidRPr="00A20317">
        <w:rPr>
          <w:rFonts w:eastAsia="Aptos" w:cs="Aptos"/>
          <w:b/>
          <w:bCs/>
        </w:rPr>
        <w:t xml:space="preserve">Une première séance de 3 heures, qui aura </w:t>
      </w:r>
      <w:r w:rsidR="009F1AA2">
        <w:rPr>
          <w:rFonts w:eastAsia="Aptos" w:cs="Aptos"/>
          <w:b/>
          <w:bCs/>
        </w:rPr>
        <w:t>lieu le 12 novembre au matin (10h-12h)</w:t>
      </w:r>
      <w:r w:rsidRPr="00A20317">
        <w:rPr>
          <w:rFonts w:eastAsia="Aptos" w:cs="Aptos"/>
        </w:rPr>
        <w:t xml:space="preserve"> aura pour but de lancer la recherche, de présenter le cadre méthodologique et de distribuer un fascicule de textes de référence en sociologie</w:t>
      </w:r>
      <w:r w:rsidR="009F1AA2">
        <w:rPr>
          <w:rFonts w:eastAsia="Aptos" w:cs="Aptos"/>
        </w:rPr>
        <w:t xml:space="preserve"> et de science politique. </w:t>
      </w:r>
    </w:p>
    <w:p w14:paraId="6B55279E" w14:textId="77777777" w:rsidR="00331D64" w:rsidRPr="00A20317" w:rsidRDefault="00331D64" w:rsidP="00331D64">
      <w:pPr>
        <w:spacing w:after="0" w:line="276" w:lineRule="auto"/>
        <w:jc w:val="both"/>
        <w:rPr>
          <w:rFonts w:eastAsia="Aptos" w:cs="Aptos"/>
        </w:rPr>
      </w:pPr>
    </w:p>
    <w:p w14:paraId="3CDDB95B" w14:textId="58F0D0A9" w:rsidR="00331D64" w:rsidRPr="00A20317" w:rsidRDefault="00331D64" w:rsidP="00331D64">
      <w:pPr>
        <w:spacing w:after="0" w:line="276" w:lineRule="auto"/>
        <w:jc w:val="both"/>
        <w:rPr>
          <w:rFonts w:eastAsia="Aptos" w:cs="Aptos"/>
          <w:b/>
          <w:bCs/>
        </w:rPr>
      </w:pPr>
      <w:r w:rsidRPr="00A20317">
        <w:rPr>
          <w:rFonts w:eastAsia="Aptos" w:cs="Aptos"/>
          <w:b/>
          <w:bCs/>
        </w:rPr>
        <w:t xml:space="preserve">Durant le second semestre, les cours seront organisés par blocs de 2 fois 3 heures, </w:t>
      </w:r>
      <w:r w:rsidR="009F1AA2">
        <w:rPr>
          <w:rFonts w:eastAsia="Aptos" w:cs="Aptos"/>
          <w:b/>
          <w:bCs/>
        </w:rPr>
        <w:t xml:space="preserve">comme les autres cours </w:t>
      </w:r>
      <w:proofErr w:type="spellStart"/>
      <w:r w:rsidR="009F1AA2">
        <w:rPr>
          <w:rFonts w:eastAsia="Aptos" w:cs="Aptos"/>
          <w:b/>
          <w:bCs/>
        </w:rPr>
        <w:t>IDEAs</w:t>
      </w:r>
      <w:proofErr w:type="spellEnd"/>
      <w:r w:rsidR="009F1AA2">
        <w:rPr>
          <w:rFonts w:eastAsia="Aptos" w:cs="Aptos"/>
          <w:b/>
          <w:bCs/>
        </w:rPr>
        <w:t xml:space="preserve"> et sur les mêmes créneaux. </w:t>
      </w:r>
    </w:p>
    <w:p w14:paraId="211CB38C" w14:textId="77777777" w:rsidR="00331D64" w:rsidRPr="00A20317" w:rsidRDefault="00331D64" w:rsidP="00331D64">
      <w:pPr>
        <w:spacing w:after="0" w:line="276" w:lineRule="auto"/>
        <w:jc w:val="both"/>
        <w:rPr>
          <w:rFonts w:eastAsia="Aptos" w:cs="Aptos"/>
          <w:b/>
          <w:bCs/>
        </w:rPr>
      </w:pPr>
    </w:p>
    <w:p w14:paraId="6520D361" w14:textId="77777777" w:rsidR="00331D64" w:rsidRPr="00A20317" w:rsidRDefault="00331D64" w:rsidP="00331D64">
      <w:pPr>
        <w:spacing w:after="0" w:line="276" w:lineRule="auto"/>
        <w:jc w:val="both"/>
        <w:rPr>
          <w:rFonts w:eastAsia="Aptos" w:cs="Aptos"/>
        </w:rPr>
      </w:pPr>
      <w:r w:rsidRPr="00A20317">
        <w:rPr>
          <w:rFonts w:eastAsia="Aptos" w:cs="Aptos"/>
        </w:rPr>
        <w:t xml:space="preserve">Les blocs de cours seront organisés de la façon suivante : </w:t>
      </w:r>
    </w:p>
    <w:p w14:paraId="375A220E" w14:textId="165C6571" w:rsidR="00331D64" w:rsidRPr="004439A4" w:rsidRDefault="00331D64" w:rsidP="00331D64">
      <w:pPr>
        <w:spacing w:after="0" w:line="276" w:lineRule="auto"/>
        <w:jc w:val="both"/>
        <w:rPr>
          <w:rFonts w:eastAsia="Roboto" w:cs="Roboto"/>
          <w:lang w:val="fr"/>
        </w:rPr>
      </w:pPr>
      <w:r w:rsidRPr="004439A4">
        <w:rPr>
          <w:rFonts w:eastAsia="Aptos" w:cs="Aptos"/>
        </w:rPr>
        <w:t xml:space="preserve">Les </w:t>
      </w:r>
      <w:r w:rsidRPr="004439A4">
        <w:rPr>
          <w:rFonts w:eastAsia="Aptos" w:cs="Aptos"/>
          <w:b/>
          <w:bCs/>
        </w:rPr>
        <w:t xml:space="preserve">mardis </w:t>
      </w:r>
      <w:r w:rsidR="00C83927" w:rsidRPr="004439A4">
        <w:rPr>
          <w:rFonts w:eastAsia="Aptos" w:cs="Aptos"/>
          <w:b/>
          <w:bCs/>
        </w:rPr>
        <w:t>après-midi</w:t>
      </w:r>
      <w:r w:rsidRPr="004439A4">
        <w:rPr>
          <w:rFonts w:eastAsia="Aptos" w:cs="Aptos"/>
        </w:rPr>
        <w:t xml:space="preserve"> : Les </w:t>
      </w:r>
      <w:r w:rsidRPr="004439A4">
        <w:rPr>
          <w:rFonts w:eastAsia="Roboto" w:cs="Roboto"/>
          <w:lang w:val="fr"/>
        </w:rPr>
        <w:t xml:space="preserve">séances comporteront une intervention par le professeur et pour certaines séances, il y aura des interventions par des </w:t>
      </w:r>
      <w:proofErr w:type="spellStart"/>
      <w:r w:rsidRPr="004439A4">
        <w:rPr>
          <w:rFonts w:eastAsia="Roboto" w:cs="Roboto"/>
          <w:lang w:val="fr"/>
        </w:rPr>
        <w:t>intervenant</w:t>
      </w:r>
      <w:r w:rsidR="00C83927" w:rsidRPr="004439A4">
        <w:rPr>
          <w:rFonts w:eastAsia="Roboto" w:cs="Roboto"/>
          <w:lang w:val="fr"/>
        </w:rPr>
        <w:t>·e</w:t>
      </w:r>
      <w:r w:rsidRPr="004439A4">
        <w:rPr>
          <w:rFonts w:eastAsia="Roboto" w:cs="Roboto"/>
          <w:lang w:val="fr"/>
        </w:rPr>
        <w:t>s</w:t>
      </w:r>
      <w:proofErr w:type="spellEnd"/>
      <w:r w:rsidRPr="004439A4">
        <w:rPr>
          <w:rFonts w:eastAsia="Roboto" w:cs="Roboto"/>
          <w:lang w:val="fr"/>
        </w:rPr>
        <w:t xml:space="preserve"> internes ou externes au Collèges. Le but de ces interventions est de fournir les savoirs et savoir-faire pratiques utiles par la préparation de leur devoir. Les </w:t>
      </w:r>
      <w:proofErr w:type="spellStart"/>
      <w:r w:rsidRPr="004439A4">
        <w:rPr>
          <w:rFonts w:eastAsia="Roboto" w:cs="Roboto"/>
          <w:lang w:val="fr"/>
        </w:rPr>
        <w:t>étudiant·es</w:t>
      </w:r>
      <w:proofErr w:type="spellEnd"/>
      <w:r w:rsidRPr="004439A4">
        <w:rPr>
          <w:rFonts w:eastAsia="Roboto" w:cs="Roboto"/>
          <w:lang w:val="fr"/>
        </w:rPr>
        <w:t xml:space="preserve"> devront faire une analyse sur les carrières de l’UE en lien avec leur propre projet professionnel sur la base des interventions en cours et d'une recherche pour laquelle ils recevront des conseils et </w:t>
      </w:r>
      <w:r w:rsidRPr="004439A4">
        <w:rPr>
          <w:rFonts w:eastAsia="Roboto" w:cs="Roboto"/>
          <w:lang w:val="fr"/>
        </w:rPr>
        <w:lastRenderedPageBreak/>
        <w:t xml:space="preserve">un encadrement spécifique. Une </w:t>
      </w:r>
      <w:r w:rsidRPr="004439A4">
        <w:rPr>
          <w:rFonts w:eastAsia="Roboto" w:cs="Roboto"/>
          <w:b/>
          <w:bCs/>
          <w:lang w:val="fr"/>
        </w:rPr>
        <w:t>séance d’initiation à l’analyse de données</w:t>
      </w:r>
      <w:r w:rsidRPr="004439A4">
        <w:rPr>
          <w:rFonts w:eastAsia="Roboto" w:cs="Roboto"/>
          <w:lang w:val="fr"/>
        </w:rPr>
        <w:t xml:space="preserve"> quantitatives et qualitatives sera organisée au courant du mois de janvier. </w:t>
      </w:r>
    </w:p>
    <w:p w14:paraId="17D9498E" w14:textId="77777777" w:rsidR="00331D64" w:rsidRPr="004439A4" w:rsidRDefault="00331D64" w:rsidP="00331D64">
      <w:pPr>
        <w:spacing w:after="0" w:line="276" w:lineRule="auto"/>
        <w:jc w:val="both"/>
        <w:rPr>
          <w:rFonts w:eastAsia="Roboto" w:cs="Roboto"/>
          <w:lang w:val="fr"/>
        </w:rPr>
      </w:pPr>
    </w:p>
    <w:p w14:paraId="05E79798" w14:textId="6624EB72" w:rsidR="00331D64" w:rsidRPr="004439A4" w:rsidRDefault="00331D64" w:rsidP="00331D64">
      <w:pPr>
        <w:spacing w:after="0" w:line="276" w:lineRule="auto"/>
        <w:jc w:val="both"/>
        <w:rPr>
          <w:rFonts w:eastAsia="Roboto" w:cs="Roboto"/>
        </w:rPr>
      </w:pPr>
      <w:r w:rsidRPr="004439A4">
        <w:rPr>
          <w:rFonts w:eastAsia="Roboto" w:cs="Roboto"/>
        </w:rPr>
        <w:t xml:space="preserve">Les </w:t>
      </w:r>
      <w:r w:rsidRPr="004439A4">
        <w:rPr>
          <w:rFonts w:eastAsia="Roboto" w:cs="Roboto"/>
          <w:b/>
          <w:bCs/>
        </w:rPr>
        <w:t>mercredis</w:t>
      </w:r>
      <w:r w:rsidR="00C83927" w:rsidRPr="004439A4">
        <w:rPr>
          <w:rFonts w:eastAsia="Roboto" w:cs="Roboto"/>
          <w:b/>
          <w:bCs/>
        </w:rPr>
        <w:t xml:space="preserve"> matin</w:t>
      </w:r>
      <w:r w:rsidRPr="004439A4">
        <w:rPr>
          <w:rFonts w:eastAsia="Roboto" w:cs="Roboto"/>
          <w:b/>
          <w:bCs/>
        </w:rPr>
        <w:t xml:space="preserve"> </w:t>
      </w:r>
      <w:r w:rsidRPr="004439A4">
        <w:rPr>
          <w:rFonts w:eastAsia="Roboto" w:cs="Roboto"/>
        </w:rPr>
        <w:t xml:space="preserve">: Sous la </w:t>
      </w:r>
      <w:r w:rsidR="00E16F31" w:rsidRPr="004439A4">
        <w:rPr>
          <w:rFonts w:eastAsia="Roboto" w:cs="Roboto"/>
        </w:rPr>
        <w:t>supervision</w:t>
      </w:r>
      <w:r w:rsidRPr="004439A4">
        <w:rPr>
          <w:rFonts w:eastAsia="Roboto" w:cs="Roboto"/>
        </w:rPr>
        <w:t xml:space="preserve"> du Prof. Georgakakis, les séances seront des séances de suivi des travaux en cours et de discussion collective autour de ceux-ci. Les </w:t>
      </w:r>
      <w:proofErr w:type="spellStart"/>
      <w:r w:rsidRPr="004439A4">
        <w:rPr>
          <w:rFonts w:eastAsia="Roboto" w:cs="Roboto"/>
        </w:rPr>
        <w:t>étudiant·es</w:t>
      </w:r>
      <w:proofErr w:type="spellEnd"/>
      <w:r w:rsidRPr="004439A4">
        <w:rPr>
          <w:rFonts w:eastAsia="Roboto" w:cs="Roboto"/>
        </w:rPr>
        <w:t xml:space="preserve"> seront ainsi amenés à discuter ensemble de leurs recherches, de leurs difficultés, mais ils pourront également s’apporter les uns aux autres leurs connaissances, leurs expériences, et éventuellement leurs contacts. À la mi-mars, une </w:t>
      </w:r>
      <w:r w:rsidRPr="004439A4">
        <w:rPr>
          <w:rFonts w:eastAsia="Roboto" w:cs="Roboto"/>
          <w:b/>
          <w:bCs/>
        </w:rPr>
        <w:t>séance de présentation de l’état d’avancement</w:t>
      </w:r>
      <w:r w:rsidRPr="004439A4">
        <w:rPr>
          <w:rFonts w:eastAsia="Roboto" w:cs="Roboto"/>
        </w:rPr>
        <w:t xml:space="preserve"> des travaux sera organisée. Lors de cette séance, chaque groupe devra présenter sa recherche pendant 20 min, en indiquant particulièrement l’avancement de ses hypothèses de recherche, la présentation du travail de terrain réalisé ou en cours, etc. </w:t>
      </w:r>
    </w:p>
    <w:p w14:paraId="20AF4EE1" w14:textId="77777777" w:rsidR="00331D64" w:rsidRPr="004439A4" w:rsidRDefault="00331D64" w:rsidP="00331D64">
      <w:pPr>
        <w:spacing w:after="0" w:line="276" w:lineRule="auto"/>
        <w:jc w:val="both"/>
        <w:rPr>
          <w:rFonts w:eastAsia="Roboto" w:cs="Roboto"/>
        </w:rPr>
      </w:pPr>
    </w:p>
    <w:p w14:paraId="0071CB1C" w14:textId="77777777" w:rsidR="00331D64" w:rsidRPr="004439A4" w:rsidRDefault="00331D64" w:rsidP="00331D64">
      <w:pPr>
        <w:spacing w:after="0" w:line="276" w:lineRule="auto"/>
        <w:jc w:val="both"/>
        <w:rPr>
          <w:rFonts w:eastAsia="Roboto" w:cs="Roboto"/>
        </w:rPr>
      </w:pPr>
      <w:r w:rsidRPr="004439A4">
        <w:rPr>
          <w:rFonts w:eastAsia="Roboto" w:cs="Roboto"/>
        </w:rPr>
        <w:t xml:space="preserve">Tout au long du semestre, les </w:t>
      </w:r>
      <w:proofErr w:type="spellStart"/>
      <w:r w:rsidRPr="004439A4">
        <w:rPr>
          <w:rFonts w:eastAsia="Roboto" w:cs="Roboto"/>
        </w:rPr>
        <w:t>étudiant·es</w:t>
      </w:r>
      <w:proofErr w:type="spellEnd"/>
      <w:r w:rsidRPr="004439A4">
        <w:rPr>
          <w:rFonts w:eastAsia="Roboto" w:cs="Roboto"/>
        </w:rPr>
        <w:t xml:space="preserve"> seront accompagnés dans leur recherche par les Prof. Georgakakis ainsi que par l’assistante académique. </w:t>
      </w:r>
    </w:p>
    <w:p w14:paraId="28899B95" w14:textId="77777777" w:rsidR="00331D64" w:rsidRPr="004439A4" w:rsidRDefault="00331D64" w:rsidP="00331D64">
      <w:pPr>
        <w:pStyle w:val="ListParagraph"/>
        <w:spacing w:after="0" w:line="276" w:lineRule="auto"/>
        <w:jc w:val="both"/>
        <w:rPr>
          <w:rFonts w:eastAsia="Aptos" w:cs="Aptos"/>
        </w:rPr>
      </w:pPr>
    </w:p>
    <w:p w14:paraId="422275A0" w14:textId="77777777" w:rsidR="00331D64" w:rsidRPr="004439A4" w:rsidRDefault="00331D64" w:rsidP="00331D64">
      <w:pPr>
        <w:spacing w:after="0" w:line="276" w:lineRule="auto"/>
        <w:jc w:val="both"/>
        <w:rPr>
          <w:rFonts w:eastAsia="Aptos" w:cs="Aptos"/>
          <w:lang w:val="en-FR"/>
        </w:rPr>
      </w:pPr>
      <w:r w:rsidRPr="004439A4">
        <w:rPr>
          <w:rFonts w:eastAsia="Aptos" w:cs="Aptos"/>
          <w:b/>
          <w:bCs/>
        </w:rPr>
        <w:t>Premier semestre : </w:t>
      </w:r>
      <w:r w:rsidRPr="004439A4">
        <w:rPr>
          <w:rFonts w:eastAsia="Aptos" w:cs="Aptos"/>
          <w:lang w:val="en-FR"/>
        </w:rPr>
        <w:t> </w:t>
      </w:r>
    </w:p>
    <w:p w14:paraId="3F075FF1" w14:textId="77777777" w:rsidR="00331D64" w:rsidRPr="004439A4" w:rsidRDefault="00331D64" w:rsidP="00331D64">
      <w:pPr>
        <w:spacing w:after="0" w:line="276" w:lineRule="auto"/>
        <w:jc w:val="both"/>
        <w:rPr>
          <w:rFonts w:eastAsia="Aptos" w:cs="Aptos"/>
          <w:lang w:val="en-FR"/>
        </w:rPr>
      </w:pPr>
      <w:r w:rsidRPr="004439A4">
        <w:rPr>
          <w:rFonts w:eastAsia="Aptos" w:cs="Aptos"/>
          <w:lang w:val="en-FR"/>
        </w:rPr>
        <w:t> </w:t>
      </w:r>
    </w:p>
    <w:p w14:paraId="18F8767F" w14:textId="00A1F711" w:rsidR="00331D64" w:rsidRPr="004439A4" w:rsidRDefault="00331D64" w:rsidP="00331D64">
      <w:pPr>
        <w:spacing w:after="0" w:line="276" w:lineRule="auto"/>
        <w:jc w:val="both"/>
        <w:rPr>
          <w:rFonts w:eastAsia="Aptos" w:cs="Aptos"/>
          <w:lang w:val="en-FR"/>
        </w:rPr>
      </w:pPr>
      <w:r w:rsidRPr="004439A4">
        <w:rPr>
          <w:rFonts w:eastAsia="Aptos" w:cs="Aptos"/>
          <w:b/>
          <w:bCs/>
        </w:rPr>
        <w:t>1</w:t>
      </w:r>
      <w:r w:rsidR="00C83927" w:rsidRPr="004439A4">
        <w:rPr>
          <w:rFonts w:eastAsia="Aptos" w:cs="Aptos"/>
          <w:b/>
          <w:bCs/>
        </w:rPr>
        <w:t>2</w:t>
      </w:r>
      <w:r w:rsidRPr="004439A4">
        <w:rPr>
          <w:rFonts w:eastAsia="Aptos" w:cs="Aptos"/>
          <w:b/>
          <w:bCs/>
        </w:rPr>
        <w:t xml:space="preserve"> novembre 202</w:t>
      </w:r>
      <w:r w:rsidR="00C83927" w:rsidRPr="004439A4">
        <w:rPr>
          <w:rFonts w:eastAsia="Aptos" w:cs="Aptos"/>
          <w:b/>
          <w:bCs/>
        </w:rPr>
        <w:t>5</w:t>
      </w:r>
      <w:r w:rsidRPr="004439A4">
        <w:rPr>
          <w:rFonts w:eastAsia="Aptos" w:cs="Aptos"/>
          <w:b/>
          <w:bCs/>
        </w:rPr>
        <w:t xml:space="preserve">, </w:t>
      </w:r>
      <w:r w:rsidR="00C83927" w:rsidRPr="004439A4">
        <w:rPr>
          <w:rFonts w:eastAsia="Aptos" w:cs="Aptos"/>
          <w:b/>
          <w:bCs/>
        </w:rPr>
        <w:t>10-12h</w:t>
      </w:r>
      <w:r w:rsidRPr="004439A4">
        <w:rPr>
          <w:rFonts w:eastAsia="Aptos" w:cs="Aptos"/>
          <w:b/>
          <w:bCs/>
        </w:rPr>
        <w:t xml:space="preserve"> </w:t>
      </w:r>
      <w:r w:rsidRPr="004439A4">
        <w:rPr>
          <w:rFonts w:eastAsia="Aptos" w:cs="Aptos"/>
        </w:rPr>
        <w:t>: Séance introductive</w:t>
      </w:r>
      <w:r w:rsidR="00C83927" w:rsidRPr="004439A4">
        <w:rPr>
          <w:rFonts w:eastAsia="Aptos" w:cs="Aptos"/>
        </w:rPr>
        <w:t xml:space="preserve"> (Didier Georgakakis)</w:t>
      </w:r>
      <w:r w:rsidRPr="004439A4">
        <w:rPr>
          <w:rFonts w:eastAsia="Aptos" w:cs="Aptos"/>
        </w:rPr>
        <w:t>, formation des groupes de recherche et indications bibliographiques (2h)</w:t>
      </w:r>
      <w:r w:rsidRPr="004439A4">
        <w:rPr>
          <w:rFonts w:eastAsia="Aptos" w:cs="Aptos"/>
          <w:lang w:val="en-FR"/>
        </w:rPr>
        <w:t> </w:t>
      </w:r>
    </w:p>
    <w:p w14:paraId="0EE6A6BA" w14:textId="77777777" w:rsidR="00331D64" w:rsidRPr="004439A4" w:rsidRDefault="00331D64" w:rsidP="00331D64">
      <w:pPr>
        <w:spacing w:after="0" w:line="276" w:lineRule="auto"/>
        <w:jc w:val="both"/>
        <w:rPr>
          <w:rFonts w:eastAsia="Aptos" w:cs="Aptos"/>
          <w:lang w:val="en-FR"/>
        </w:rPr>
      </w:pPr>
      <w:r w:rsidRPr="004439A4">
        <w:rPr>
          <w:rFonts w:eastAsia="Aptos" w:cs="Aptos"/>
          <w:lang w:val="en-FR"/>
        </w:rPr>
        <w:t> </w:t>
      </w:r>
    </w:p>
    <w:p w14:paraId="101C587F" w14:textId="77777777" w:rsidR="00C83927" w:rsidRPr="004439A4" w:rsidRDefault="00C83927" w:rsidP="00331D64">
      <w:pPr>
        <w:spacing w:after="0" w:line="276" w:lineRule="auto"/>
        <w:jc w:val="both"/>
        <w:rPr>
          <w:rFonts w:eastAsia="Aptos" w:cs="Aptos"/>
          <w:lang w:val="en-FR"/>
        </w:rPr>
      </w:pPr>
    </w:p>
    <w:p w14:paraId="4196F713" w14:textId="77777777" w:rsidR="00331D64" w:rsidRPr="004439A4" w:rsidRDefault="00331D64" w:rsidP="00331D64">
      <w:pPr>
        <w:spacing w:after="0" w:line="276" w:lineRule="auto"/>
        <w:jc w:val="both"/>
        <w:rPr>
          <w:rFonts w:eastAsia="Aptos" w:cs="Aptos"/>
          <w:lang w:val="en-FR"/>
        </w:rPr>
      </w:pPr>
      <w:r w:rsidRPr="004439A4">
        <w:rPr>
          <w:rFonts w:eastAsia="Aptos" w:cs="Aptos"/>
          <w:b/>
          <w:bCs/>
          <w:lang w:val="en-FR"/>
        </w:rPr>
        <w:t>Second semestre :</w:t>
      </w:r>
      <w:r w:rsidRPr="004439A4">
        <w:rPr>
          <w:rFonts w:eastAsia="Aptos" w:cs="Aptos"/>
          <w:lang w:val="en-FR"/>
        </w:rPr>
        <w:t> </w:t>
      </w:r>
    </w:p>
    <w:p w14:paraId="57917502" w14:textId="77777777" w:rsidR="00331D64" w:rsidRDefault="00331D64" w:rsidP="00331D64">
      <w:pPr>
        <w:spacing w:after="0" w:line="276" w:lineRule="auto"/>
        <w:jc w:val="both"/>
        <w:rPr>
          <w:rFonts w:eastAsia="Aptos" w:cs="Aptos"/>
          <w:lang w:val="en-FR"/>
        </w:rPr>
      </w:pPr>
    </w:p>
    <w:p w14:paraId="2DA8060C" w14:textId="3D70A430" w:rsidR="0058341B" w:rsidRDefault="0058341B" w:rsidP="00331D64">
      <w:pPr>
        <w:spacing w:after="0" w:line="276" w:lineRule="auto"/>
        <w:jc w:val="both"/>
        <w:rPr>
          <w:rFonts w:eastAsia="Aptos" w:cs="Aptos"/>
          <w:lang w:val="en-FR"/>
        </w:rPr>
      </w:pPr>
      <w:r w:rsidRPr="0058341B">
        <w:rPr>
          <w:rFonts w:eastAsia="Aptos" w:cs="Aptos"/>
          <w:b/>
          <w:bCs/>
          <w:lang w:val="en-FR"/>
        </w:rPr>
        <w:t>25 november</w:t>
      </w:r>
      <w:r>
        <w:rPr>
          <w:rFonts w:eastAsia="Aptos" w:cs="Aptos"/>
          <w:lang w:val="en-FR"/>
        </w:rPr>
        <w:t xml:space="preserve"> : séance introductive ; lancement du séminaire (1h) </w:t>
      </w:r>
    </w:p>
    <w:p w14:paraId="016611C7" w14:textId="77777777" w:rsidR="0058341B" w:rsidRPr="004439A4" w:rsidRDefault="0058341B" w:rsidP="00331D64">
      <w:pPr>
        <w:spacing w:after="0" w:line="276" w:lineRule="auto"/>
        <w:jc w:val="both"/>
        <w:rPr>
          <w:rFonts w:eastAsia="Aptos" w:cs="Aptos"/>
          <w:lang w:val="en-FR"/>
        </w:rPr>
      </w:pPr>
    </w:p>
    <w:p w14:paraId="61467A9E" w14:textId="3C56BFE9" w:rsidR="0058341B" w:rsidRPr="0058341B" w:rsidRDefault="00331D64" w:rsidP="00331D64">
      <w:pPr>
        <w:spacing w:after="0" w:line="276" w:lineRule="auto"/>
        <w:jc w:val="both"/>
        <w:rPr>
          <w:rFonts w:eastAsia="Aptos" w:cs="Aptos"/>
          <w:i/>
          <w:iCs/>
          <w:lang w:val="en-FR"/>
        </w:rPr>
      </w:pPr>
      <w:r w:rsidRPr="004439A4">
        <w:rPr>
          <w:rFonts w:eastAsia="Aptos" w:cs="Aptos"/>
          <w:i/>
          <w:iCs/>
          <w:lang w:val="en-FR"/>
        </w:rPr>
        <w:t xml:space="preserve">Bloc 1 </w:t>
      </w:r>
      <w:r w:rsidR="00C83927" w:rsidRPr="004439A4">
        <w:rPr>
          <w:rFonts w:eastAsia="Aptos" w:cs="Aptos"/>
          <w:i/>
          <w:iCs/>
          <w:lang w:val="en-FR"/>
        </w:rPr>
        <w:t xml:space="preserve">– Introduction </w:t>
      </w:r>
    </w:p>
    <w:p w14:paraId="4F7F8295" w14:textId="77777777" w:rsidR="0058341B" w:rsidRDefault="0058341B" w:rsidP="00331D64">
      <w:pPr>
        <w:spacing w:after="0" w:line="276" w:lineRule="auto"/>
        <w:jc w:val="both"/>
        <w:rPr>
          <w:rFonts w:eastAsia="Aptos" w:cs="Aptos"/>
          <w:lang w:val="en-FR"/>
        </w:rPr>
      </w:pPr>
      <w:r w:rsidRPr="0058341B">
        <w:rPr>
          <w:rFonts w:eastAsia="Aptos" w:cs="Aptos"/>
          <w:b/>
          <w:bCs/>
          <w:lang w:val="en-FR"/>
        </w:rPr>
        <w:t>13 &amp; 14 january</w:t>
      </w:r>
      <w:r>
        <w:rPr>
          <w:rFonts w:eastAsia="Aptos" w:cs="Aptos"/>
          <w:lang w:val="en-FR"/>
        </w:rPr>
        <w:t xml:space="preserve"> : introduction à la recherche sur les métier de l’Europe </w:t>
      </w:r>
    </w:p>
    <w:p w14:paraId="5502E5D8" w14:textId="36AED4E6" w:rsidR="0058341B" w:rsidRDefault="0058341B" w:rsidP="00331D64">
      <w:pPr>
        <w:spacing w:after="0" w:line="276" w:lineRule="auto"/>
        <w:jc w:val="both"/>
        <w:rPr>
          <w:rFonts w:eastAsia="Aptos" w:cs="Aptos"/>
          <w:lang w:val="en-FR"/>
        </w:rPr>
      </w:pPr>
      <w:r w:rsidRPr="004439A4">
        <w:rPr>
          <w:rFonts w:eastAsia="Aptos" w:cs="Aptos"/>
          <w:lang w:val="en-FR"/>
        </w:rPr>
        <w:t>Cours magistral (D.Georgakakis)  </w:t>
      </w:r>
      <w:r>
        <w:rPr>
          <w:rFonts w:eastAsia="Aptos" w:cs="Aptos"/>
          <w:lang w:val="en-FR"/>
        </w:rPr>
        <w:t>(6h)</w:t>
      </w:r>
    </w:p>
    <w:p w14:paraId="6F98B66C" w14:textId="77777777" w:rsidR="0058341B" w:rsidRPr="004439A4" w:rsidRDefault="0058341B" w:rsidP="00331D64">
      <w:pPr>
        <w:spacing w:after="0" w:line="276" w:lineRule="auto"/>
        <w:jc w:val="both"/>
        <w:rPr>
          <w:rFonts w:eastAsia="Aptos" w:cs="Aptos"/>
          <w:lang w:val="en-FR"/>
        </w:rPr>
      </w:pPr>
    </w:p>
    <w:p w14:paraId="0292D133" w14:textId="56E627F1" w:rsidR="00C83927" w:rsidRPr="004439A4" w:rsidRDefault="00331D64" w:rsidP="00331D64">
      <w:pPr>
        <w:spacing w:after="0" w:line="276" w:lineRule="auto"/>
        <w:jc w:val="both"/>
        <w:rPr>
          <w:rFonts w:eastAsia="Aptos" w:cs="Aptos"/>
          <w:i/>
          <w:iCs/>
          <w:lang w:val="en-FR"/>
        </w:rPr>
      </w:pPr>
      <w:r w:rsidRPr="004439A4">
        <w:rPr>
          <w:rFonts w:eastAsia="Aptos" w:cs="Aptos"/>
          <w:i/>
          <w:iCs/>
          <w:lang w:val="en-FR"/>
        </w:rPr>
        <w:t xml:space="preserve">Bloc 2 </w:t>
      </w:r>
      <w:r w:rsidR="00C83927" w:rsidRPr="004439A4">
        <w:rPr>
          <w:rFonts w:eastAsia="Aptos" w:cs="Aptos"/>
          <w:i/>
          <w:iCs/>
          <w:lang w:val="en-FR"/>
        </w:rPr>
        <w:t xml:space="preserve"> </w:t>
      </w:r>
      <w:r w:rsidR="0079208A" w:rsidRPr="004439A4">
        <w:rPr>
          <w:rFonts w:eastAsia="Aptos" w:cs="Aptos"/>
          <w:i/>
          <w:iCs/>
          <w:lang w:val="en-FR"/>
        </w:rPr>
        <w:t xml:space="preserve">– </w:t>
      </w:r>
      <w:r w:rsidR="00C83927" w:rsidRPr="004439A4">
        <w:rPr>
          <w:rFonts w:eastAsia="Aptos" w:cs="Aptos"/>
          <w:i/>
          <w:iCs/>
          <w:lang w:val="en-FR"/>
        </w:rPr>
        <w:t>Introduction aux méthodes qua</w:t>
      </w:r>
      <w:r w:rsidR="0058341B">
        <w:rPr>
          <w:rFonts w:eastAsia="Aptos" w:cs="Aptos"/>
          <w:i/>
          <w:iCs/>
          <w:lang w:val="en-FR"/>
        </w:rPr>
        <w:t>l</w:t>
      </w:r>
      <w:r w:rsidR="00C83927" w:rsidRPr="004439A4">
        <w:rPr>
          <w:rFonts w:eastAsia="Aptos" w:cs="Aptos"/>
          <w:i/>
          <w:iCs/>
          <w:lang w:val="en-FR"/>
        </w:rPr>
        <w:t xml:space="preserve">itatives </w:t>
      </w:r>
      <w:r w:rsidR="0058341B">
        <w:rPr>
          <w:rFonts w:eastAsia="Aptos" w:cs="Aptos"/>
          <w:i/>
          <w:iCs/>
          <w:lang w:val="en-FR"/>
        </w:rPr>
        <w:t xml:space="preserve">et aux professions juridiques </w:t>
      </w:r>
    </w:p>
    <w:p w14:paraId="2DED7272" w14:textId="69B326C2" w:rsidR="00757A34" w:rsidRDefault="0058341B" w:rsidP="00331D64">
      <w:pPr>
        <w:spacing w:after="0" w:line="276" w:lineRule="auto"/>
        <w:jc w:val="both"/>
        <w:rPr>
          <w:rFonts w:eastAsia="Aptos" w:cs="Aptos"/>
          <w:lang w:val="en-FR"/>
        </w:rPr>
      </w:pPr>
      <w:r>
        <w:rPr>
          <w:rFonts w:eastAsia="Aptos" w:cs="Aptos"/>
          <w:b/>
          <w:bCs/>
          <w:lang w:val="en-FR"/>
        </w:rPr>
        <w:t xml:space="preserve">17 &amp; 18 february : </w:t>
      </w:r>
      <w:r w:rsidR="0079208A" w:rsidRPr="004439A4">
        <w:rPr>
          <w:rFonts w:eastAsia="Aptos" w:cs="Aptos"/>
          <w:lang w:val="en-FR"/>
        </w:rPr>
        <w:t>Lola Avril (</w:t>
      </w:r>
      <w:r w:rsidR="00757A34" w:rsidRPr="004439A4">
        <w:rPr>
          <w:rFonts w:eastAsia="Aptos" w:cs="Aptos"/>
          <w:lang w:val="en-FR"/>
        </w:rPr>
        <w:t xml:space="preserve">about european </w:t>
      </w:r>
      <w:r w:rsidR="0079208A" w:rsidRPr="004439A4">
        <w:rPr>
          <w:rFonts w:eastAsia="Aptos" w:cs="Aptos"/>
          <w:lang w:val="en-FR"/>
        </w:rPr>
        <w:t xml:space="preserve">jurists + qualitative methods) </w:t>
      </w:r>
      <w:r w:rsidR="00C83927" w:rsidRPr="004439A4">
        <w:rPr>
          <w:rFonts w:eastAsia="Aptos" w:cs="Aptos"/>
          <w:lang w:val="en-FR"/>
        </w:rPr>
        <w:t xml:space="preserve">(6h) </w:t>
      </w:r>
    </w:p>
    <w:p w14:paraId="57DB3EE5" w14:textId="77777777" w:rsidR="0058341B" w:rsidRDefault="0058341B" w:rsidP="00331D64">
      <w:pPr>
        <w:spacing w:after="0" w:line="276" w:lineRule="auto"/>
        <w:jc w:val="both"/>
        <w:rPr>
          <w:rFonts w:eastAsia="Aptos" w:cs="Aptos"/>
          <w:lang w:val="en-FR"/>
        </w:rPr>
      </w:pPr>
    </w:p>
    <w:p w14:paraId="2B750F8B" w14:textId="7BABCE51" w:rsidR="0058341B" w:rsidRPr="004439A4" w:rsidRDefault="0058341B" w:rsidP="0058341B">
      <w:pPr>
        <w:spacing w:after="0" w:line="276" w:lineRule="auto"/>
        <w:jc w:val="both"/>
        <w:rPr>
          <w:rFonts w:eastAsia="Aptos" w:cs="Aptos"/>
          <w:i/>
          <w:iCs/>
          <w:lang w:val="en-FR"/>
        </w:rPr>
      </w:pPr>
      <w:r w:rsidRPr="004439A4">
        <w:rPr>
          <w:rFonts w:eastAsia="Aptos" w:cs="Aptos"/>
          <w:i/>
          <w:iCs/>
          <w:lang w:val="en-FR"/>
        </w:rPr>
        <w:t xml:space="preserve">Bloc </w:t>
      </w:r>
      <w:r>
        <w:rPr>
          <w:rFonts w:eastAsia="Aptos" w:cs="Aptos"/>
          <w:i/>
          <w:iCs/>
          <w:lang w:val="en-FR"/>
        </w:rPr>
        <w:t>3</w:t>
      </w:r>
      <w:r w:rsidRPr="004439A4">
        <w:rPr>
          <w:rFonts w:eastAsia="Aptos" w:cs="Aptos"/>
          <w:i/>
          <w:iCs/>
          <w:lang w:val="en-FR"/>
        </w:rPr>
        <w:t xml:space="preserve">  – Introduction aux méthodes quantitatives et </w:t>
      </w:r>
      <w:r>
        <w:rPr>
          <w:rFonts w:eastAsia="Aptos" w:cs="Aptos"/>
          <w:i/>
          <w:iCs/>
          <w:lang w:val="en-FR"/>
        </w:rPr>
        <w:t xml:space="preserve">aux professions de l’économie </w:t>
      </w:r>
      <w:r w:rsidRPr="004439A4">
        <w:rPr>
          <w:rFonts w:eastAsia="Aptos" w:cs="Aptos"/>
          <w:i/>
          <w:iCs/>
          <w:lang w:val="en-FR"/>
        </w:rPr>
        <w:t xml:space="preserve"> </w:t>
      </w:r>
    </w:p>
    <w:p w14:paraId="156B125B" w14:textId="7870D5C7" w:rsidR="0058341B" w:rsidRPr="004439A4" w:rsidRDefault="0058341B" w:rsidP="00331D64">
      <w:pPr>
        <w:spacing w:after="0" w:line="276" w:lineRule="auto"/>
        <w:jc w:val="both"/>
        <w:rPr>
          <w:rFonts w:eastAsia="Aptos" w:cs="Aptos"/>
          <w:lang w:val="en-FR"/>
        </w:rPr>
      </w:pPr>
      <w:r>
        <w:rPr>
          <w:rFonts w:eastAsia="Aptos" w:cs="Aptos"/>
          <w:lang w:val="en-FR"/>
        </w:rPr>
        <w:t>24 &amp; 25 february : Christian Schmidt Wellenburg (european economists = quantitative methods) (6h)</w:t>
      </w:r>
    </w:p>
    <w:p w14:paraId="0D437EA2" w14:textId="77777777" w:rsidR="00C83927" w:rsidRDefault="00C83927" w:rsidP="00331D64">
      <w:pPr>
        <w:spacing w:after="0" w:line="276" w:lineRule="auto"/>
        <w:jc w:val="both"/>
        <w:rPr>
          <w:rFonts w:eastAsia="Aptos" w:cs="Aptos"/>
          <w:lang w:val="en-FR"/>
        </w:rPr>
      </w:pPr>
    </w:p>
    <w:p w14:paraId="429BEA94" w14:textId="77777777" w:rsidR="0058341B" w:rsidRDefault="0058341B" w:rsidP="0058341B">
      <w:pPr>
        <w:spacing w:after="0" w:line="276" w:lineRule="auto"/>
        <w:jc w:val="both"/>
        <w:rPr>
          <w:rFonts w:eastAsia="Aptos" w:cs="Aptos"/>
          <w:lang w:val="en-FR"/>
        </w:rPr>
      </w:pPr>
      <w:r w:rsidRPr="004439A4">
        <w:rPr>
          <w:rFonts w:eastAsia="Aptos" w:cs="Aptos"/>
          <w:b/>
          <w:bCs/>
          <w:lang w:val="en-US"/>
        </w:rPr>
        <w:t>Date TBC</w:t>
      </w:r>
      <w:r w:rsidRPr="004439A4">
        <w:rPr>
          <w:rFonts w:eastAsia="Aptos" w:cs="Aptos"/>
          <w:lang w:val="en-US"/>
        </w:rPr>
        <w:t xml:space="preserve">: </w:t>
      </w:r>
      <w:r w:rsidRPr="004439A4">
        <w:rPr>
          <w:rFonts w:eastAsia="Aptos" w:cs="Aptos"/>
          <w:lang w:val="en-FR"/>
        </w:rPr>
        <w:t>Individual group chats (3h)</w:t>
      </w:r>
    </w:p>
    <w:p w14:paraId="6F8B006B" w14:textId="77777777" w:rsidR="0058341B" w:rsidRPr="004439A4" w:rsidRDefault="0058341B" w:rsidP="00331D64">
      <w:pPr>
        <w:spacing w:after="0" w:line="276" w:lineRule="auto"/>
        <w:jc w:val="both"/>
        <w:rPr>
          <w:rFonts w:eastAsia="Aptos" w:cs="Aptos"/>
          <w:lang w:val="en-FR"/>
        </w:rPr>
      </w:pPr>
    </w:p>
    <w:p w14:paraId="48D13AF5" w14:textId="754FE9C3" w:rsidR="00C83927" w:rsidRPr="004439A4" w:rsidRDefault="00C83927" w:rsidP="00331D64">
      <w:pPr>
        <w:spacing w:after="0" w:line="276" w:lineRule="auto"/>
        <w:jc w:val="both"/>
        <w:rPr>
          <w:rFonts w:eastAsia="Aptos" w:cs="Aptos"/>
          <w:i/>
          <w:iCs/>
          <w:lang w:val="en-FR"/>
        </w:rPr>
      </w:pPr>
      <w:r w:rsidRPr="004439A4">
        <w:rPr>
          <w:rFonts w:eastAsia="Aptos" w:cs="Aptos"/>
          <w:i/>
          <w:iCs/>
          <w:lang w:val="en-FR"/>
        </w:rPr>
        <w:t xml:space="preserve">Bloc 3 – Développement et suivi des travaux de groupe </w:t>
      </w:r>
    </w:p>
    <w:p w14:paraId="70E489CA" w14:textId="3846274D" w:rsidR="0079208A" w:rsidRPr="00D83374" w:rsidRDefault="0058341B" w:rsidP="00331D64">
      <w:pPr>
        <w:spacing w:after="0" w:line="276" w:lineRule="auto"/>
        <w:jc w:val="both"/>
        <w:rPr>
          <w:rFonts w:eastAsia="Aptos" w:cs="Aptos"/>
          <w:lang w:val="en-FR"/>
        </w:rPr>
      </w:pPr>
      <w:r w:rsidRPr="0058341B">
        <w:rPr>
          <w:rFonts w:eastAsia="Aptos" w:cs="Aptos"/>
          <w:b/>
          <w:bCs/>
          <w:lang w:val="en-FR"/>
        </w:rPr>
        <w:lastRenderedPageBreak/>
        <w:t>31 march</w:t>
      </w:r>
      <w:r>
        <w:rPr>
          <w:rFonts w:eastAsia="Aptos" w:cs="Aptos"/>
          <w:lang w:val="en-FR"/>
        </w:rPr>
        <w:t xml:space="preserve"> &amp; </w:t>
      </w:r>
      <w:r w:rsidRPr="0058341B">
        <w:rPr>
          <w:rFonts w:eastAsia="Aptos" w:cs="Aptos"/>
          <w:b/>
          <w:bCs/>
          <w:lang w:val="en-FR"/>
        </w:rPr>
        <w:t>1st april</w:t>
      </w:r>
      <w:r>
        <w:rPr>
          <w:rFonts w:eastAsia="Aptos" w:cs="Aptos"/>
          <w:lang w:val="en-FR"/>
        </w:rPr>
        <w:t xml:space="preserve"> </w:t>
      </w:r>
      <w:r w:rsidR="0079208A" w:rsidRPr="004439A4">
        <w:rPr>
          <w:rFonts w:eastAsia="Aptos" w:cs="Aptos"/>
          <w:lang w:val="en-FR"/>
        </w:rPr>
        <w:t xml:space="preserve">: </w:t>
      </w:r>
      <w:r w:rsidR="00C83927" w:rsidRPr="004439A4">
        <w:rPr>
          <w:rFonts w:eastAsia="Aptos" w:cs="Aptos"/>
          <w:lang w:val="en-FR"/>
        </w:rPr>
        <w:t xml:space="preserve">Remise et présentations en classe de la version intermédiaire des travaux de groupe </w:t>
      </w:r>
    </w:p>
    <w:p w14:paraId="5CCAF1D5" w14:textId="77777777" w:rsidR="00757A34" w:rsidRDefault="00757A34" w:rsidP="00331D64">
      <w:pPr>
        <w:spacing w:after="0" w:line="276" w:lineRule="auto"/>
        <w:jc w:val="both"/>
        <w:rPr>
          <w:rFonts w:eastAsia="Aptos" w:cs="Aptos"/>
          <w:lang w:val="en-FR"/>
        </w:rPr>
      </w:pPr>
    </w:p>
    <w:p w14:paraId="50B1A25F" w14:textId="709CF50E" w:rsidR="00331D64" w:rsidRPr="002F5520" w:rsidRDefault="002F5520" w:rsidP="00331D64">
      <w:pPr>
        <w:spacing w:after="0" w:line="276" w:lineRule="auto"/>
        <w:jc w:val="both"/>
        <w:rPr>
          <w:rFonts w:eastAsia="Aptos" w:cs="Aptos"/>
          <w:b/>
          <w:bCs/>
        </w:rPr>
      </w:pPr>
      <w:r w:rsidRPr="002F5520">
        <w:rPr>
          <w:rFonts w:eastAsia="Aptos" w:cs="Aptos"/>
          <w:b/>
          <w:bCs/>
        </w:rPr>
        <w:t xml:space="preserve">Date de remise de la version finale du document : 10 juin 2026, 12h00  </w:t>
      </w:r>
    </w:p>
    <w:p w14:paraId="49AEFEF6" w14:textId="77777777" w:rsidR="00331D64" w:rsidRPr="002F5520" w:rsidRDefault="00331D64" w:rsidP="00331D64">
      <w:pPr>
        <w:spacing w:after="0" w:line="276" w:lineRule="auto"/>
        <w:jc w:val="both"/>
        <w:rPr>
          <w:rFonts w:eastAsia="Aptos" w:cs="Aptos"/>
        </w:rPr>
      </w:pPr>
    </w:p>
    <w:p w14:paraId="59780526" w14:textId="77777777" w:rsidR="00331D64" w:rsidRPr="002F5520" w:rsidRDefault="00331D64" w:rsidP="00331D64">
      <w:pPr>
        <w:spacing w:after="0" w:line="276" w:lineRule="auto"/>
        <w:jc w:val="both"/>
        <w:rPr>
          <w:rFonts w:eastAsia="Aptos" w:cs="Aptos"/>
        </w:rPr>
      </w:pPr>
    </w:p>
    <w:p w14:paraId="6C6A5E37" w14:textId="77777777" w:rsidR="00331D64" w:rsidRPr="00A20317" w:rsidRDefault="00331D64" w:rsidP="00331D64">
      <w:pPr>
        <w:pStyle w:val="Heading3"/>
        <w:spacing w:before="0" w:line="276" w:lineRule="auto"/>
        <w:ind w:left="708"/>
        <w:jc w:val="both"/>
        <w:rPr>
          <w:rFonts w:eastAsia="Aptos" w:cs="Aptos"/>
        </w:rPr>
      </w:pPr>
      <w:r w:rsidRPr="00A20317">
        <w:rPr>
          <w:rFonts w:eastAsia="Aptos" w:cs="Aptos"/>
          <w:b/>
          <w:bCs/>
        </w:rPr>
        <w:t>Modalités d'évaluation</w:t>
      </w:r>
    </w:p>
    <w:p w14:paraId="47AD54E6" w14:textId="77777777" w:rsidR="00331D64" w:rsidRPr="00A20317" w:rsidRDefault="00331D64" w:rsidP="00331D64">
      <w:pPr>
        <w:spacing w:before="240" w:after="240" w:line="276" w:lineRule="auto"/>
        <w:jc w:val="both"/>
      </w:pPr>
      <w:r w:rsidRPr="00A20317">
        <w:rPr>
          <w:rFonts w:eastAsia="Aptos" w:cs="Aptos"/>
        </w:rPr>
        <w:t xml:space="preserve">L'évaluation des </w:t>
      </w:r>
      <w:proofErr w:type="spellStart"/>
      <w:r w:rsidRPr="00A20317">
        <w:rPr>
          <w:rFonts w:eastAsia="Aptos" w:cs="Aptos"/>
        </w:rPr>
        <w:t>étudiant·es</w:t>
      </w:r>
      <w:proofErr w:type="spellEnd"/>
      <w:r w:rsidRPr="00A20317">
        <w:rPr>
          <w:rFonts w:eastAsia="Aptos" w:cs="Aptos"/>
        </w:rPr>
        <w:t xml:space="preserve"> sera fondée sur plusieurs éléments :</w:t>
      </w:r>
    </w:p>
    <w:p w14:paraId="69E666F3" w14:textId="2CBE2E46" w:rsidR="00331D64" w:rsidRPr="00CC311F" w:rsidRDefault="00331D64" w:rsidP="00CC311F">
      <w:pPr>
        <w:pStyle w:val="ListParagraph"/>
        <w:numPr>
          <w:ilvl w:val="0"/>
          <w:numId w:val="1"/>
        </w:numPr>
        <w:spacing w:after="0" w:line="276" w:lineRule="auto"/>
        <w:jc w:val="both"/>
        <w:rPr>
          <w:rFonts w:eastAsia="Aptos" w:cs="Aptos"/>
        </w:rPr>
      </w:pPr>
      <w:r w:rsidRPr="00A20317">
        <w:rPr>
          <w:rFonts w:eastAsia="Aptos" w:cs="Aptos"/>
          <w:b/>
          <w:bCs/>
        </w:rPr>
        <w:t>Participation active</w:t>
      </w:r>
      <w:r w:rsidRPr="00A20317">
        <w:rPr>
          <w:rFonts w:eastAsia="Aptos" w:cs="Aptos"/>
        </w:rPr>
        <w:t xml:space="preserve"> aux cours et particulièrement aux séances de discussion collective (2</w:t>
      </w:r>
      <w:r>
        <w:rPr>
          <w:rFonts w:eastAsia="Aptos" w:cs="Aptos"/>
        </w:rPr>
        <w:t>0</w:t>
      </w:r>
      <w:r w:rsidRPr="00A20317">
        <w:rPr>
          <w:rFonts w:eastAsia="Aptos" w:cs="Aptos"/>
        </w:rPr>
        <w:t>%).</w:t>
      </w:r>
      <w:r>
        <w:rPr>
          <w:rFonts w:eastAsia="Aptos" w:cs="Aptos"/>
        </w:rPr>
        <w:t xml:space="preserve"> </w:t>
      </w:r>
      <w:r w:rsidRPr="00D83374">
        <w:rPr>
          <w:rFonts w:eastAsia="Aptos" w:cs="Aptos"/>
        </w:rPr>
        <w:t>Tiendra com</w:t>
      </w:r>
      <w:r>
        <w:rPr>
          <w:rFonts w:eastAsia="Aptos" w:cs="Aptos"/>
        </w:rPr>
        <w:t>pte</w:t>
      </w:r>
      <w:r w:rsidRPr="00D83374">
        <w:rPr>
          <w:rFonts w:eastAsia="Aptos" w:cs="Aptos"/>
        </w:rPr>
        <w:t xml:space="preserve"> de la </w:t>
      </w:r>
      <w:r>
        <w:rPr>
          <w:rFonts w:eastAsia="Aptos" w:cs="Aptos"/>
          <w:b/>
          <w:bCs/>
        </w:rPr>
        <w:t>p</w:t>
      </w:r>
      <w:r w:rsidRPr="00A20317">
        <w:rPr>
          <w:rFonts w:eastAsia="Aptos" w:cs="Aptos"/>
          <w:b/>
          <w:bCs/>
        </w:rPr>
        <w:t>résentation orale</w:t>
      </w:r>
      <w:r w:rsidRPr="00A20317">
        <w:rPr>
          <w:rFonts w:eastAsia="Aptos" w:cs="Aptos"/>
        </w:rPr>
        <w:t xml:space="preserve"> du mémoire et </w:t>
      </w:r>
      <w:r>
        <w:rPr>
          <w:rFonts w:eastAsia="Aptos" w:cs="Aptos"/>
        </w:rPr>
        <w:t xml:space="preserve">de la </w:t>
      </w:r>
      <w:r w:rsidRPr="00A20317">
        <w:rPr>
          <w:rFonts w:eastAsia="Aptos" w:cs="Aptos"/>
        </w:rPr>
        <w:t xml:space="preserve">discussion sur les résultats et les méthodes de recherche </w:t>
      </w:r>
      <w:r>
        <w:rPr>
          <w:rFonts w:eastAsia="Aptos" w:cs="Aptos"/>
        </w:rPr>
        <w:t>qui aura lieu à mi-semestre</w:t>
      </w:r>
      <w:r w:rsidR="00CC311F">
        <w:rPr>
          <w:rFonts w:eastAsia="Aptos" w:cs="Aptos"/>
        </w:rPr>
        <w:t xml:space="preserve">. </w:t>
      </w:r>
    </w:p>
    <w:p w14:paraId="4708690B" w14:textId="77777777" w:rsidR="00331D64" w:rsidRPr="00A20317" w:rsidRDefault="00331D64" w:rsidP="00331D64">
      <w:pPr>
        <w:spacing w:after="0" w:line="276" w:lineRule="auto"/>
        <w:jc w:val="both"/>
        <w:rPr>
          <w:rFonts w:eastAsia="Aptos" w:cs="Aptos"/>
        </w:rPr>
      </w:pPr>
    </w:p>
    <w:p w14:paraId="76A21903" w14:textId="433073C3" w:rsidR="0079208A" w:rsidRPr="0079208A" w:rsidRDefault="00331D64" w:rsidP="00331D64">
      <w:pPr>
        <w:pStyle w:val="ListParagraph"/>
        <w:numPr>
          <w:ilvl w:val="0"/>
          <w:numId w:val="1"/>
        </w:numPr>
        <w:spacing w:after="0" w:line="276" w:lineRule="auto"/>
        <w:jc w:val="both"/>
        <w:rPr>
          <w:rFonts w:eastAsia="Aptos" w:cs="Aptos"/>
          <w:b/>
          <w:bCs/>
        </w:rPr>
      </w:pPr>
      <w:r w:rsidRPr="00A20317">
        <w:rPr>
          <w:rFonts w:eastAsia="Aptos" w:cs="Aptos"/>
          <w:b/>
          <w:bCs/>
        </w:rPr>
        <w:t>Réalisation d'un mémoire de recherche en groupe</w:t>
      </w:r>
      <w:r w:rsidRPr="00A20317">
        <w:rPr>
          <w:rFonts w:eastAsia="Aptos" w:cs="Aptos"/>
        </w:rPr>
        <w:t xml:space="preserve"> </w:t>
      </w:r>
      <w:r w:rsidR="00CC311F">
        <w:rPr>
          <w:rFonts w:eastAsia="Aptos" w:cs="Aptos"/>
        </w:rPr>
        <w:t xml:space="preserve">(40% + 40%) </w:t>
      </w:r>
      <w:r w:rsidRPr="00A20317">
        <w:rPr>
          <w:rFonts w:eastAsia="Aptos" w:cs="Aptos"/>
        </w:rPr>
        <w:t xml:space="preserve">comprenant une analyse empirique basée sur des entretiens et des données quantitatives. Le mémoire final comportera une dizaine de pages, hors annexes éventuelles. Le mémoire devra présenter des </w:t>
      </w:r>
      <w:r w:rsidRPr="00A20317">
        <w:rPr>
          <w:rFonts w:eastAsia="Aptos" w:cs="Aptos"/>
          <w:b/>
          <w:bCs/>
        </w:rPr>
        <w:t>données de première main</w:t>
      </w:r>
      <w:r w:rsidRPr="00A20317">
        <w:rPr>
          <w:rFonts w:eastAsia="Aptos" w:cs="Aptos"/>
        </w:rPr>
        <w:t xml:space="preserve"> (2 entretiens </w:t>
      </w:r>
      <w:r w:rsidR="00757A34">
        <w:rPr>
          <w:rFonts w:eastAsia="Aptos" w:cs="Aptos"/>
        </w:rPr>
        <w:t xml:space="preserve">min. </w:t>
      </w:r>
      <w:r w:rsidRPr="00A20317">
        <w:rPr>
          <w:rFonts w:eastAsia="Aptos" w:cs="Aptos"/>
        </w:rPr>
        <w:t>par étudiant, ainsi que des données quantitatives</w:t>
      </w:r>
      <w:r w:rsidR="00757A34">
        <w:rPr>
          <w:rFonts w:eastAsia="Aptos" w:cs="Aptos"/>
        </w:rPr>
        <w:t xml:space="preserve">, </w:t>
      </w:r>
      <w:r w:rsidRPr="00A20317">
        <w:rPr>
          <w:rFonts w:eastAsia="Aptos" w:cs="Aptos"/>
        </w:rPr>
        <w:t xml:space="preserve">ainsi qu’une analyse appuyée sur des outils des sciences sociales, étayée par une bibliographie. </w:t>
      </w:r>
    </w:p>
    <w:p w14:paraId="0DA79BE2" w14:textId="77777777" w:rsidR="00757A34" w:rsidRDefault="0079208A" w:rsidP="0079208A">
      <w:pPr>
        <w:pStyle w:val="ListParagraph"/>
        <w:numPr>
          <w:ilvl w:val="1"/>
          <w:numId w:val="1"/>
        </w:numPr>
        <w:spacing w:after="0" w:line="276" w:lineRule="auto"/>
        <w:jc w:val="both"/>
        <w:rPr>
          <w:rFonts w:eastAsia="Aptos" w:cs="Aptos"/>
          <w:b/>
          <w:bCs/>
        </w:rPr>
      </w:pPr>
      <w:r>
        <w:rPr>
          <w:rFonts w:eastAsia="Aptos" w:cs="Aptos"/>
          <w:b/>
          <w:bCs/>
        </w:rPr>
        <w:t>40</w:t>
      </w:r>
      <w:proofErr w:type="gramStart"/>
      <w:r>
        <w:rPr>
          <w:rFonts w:eastAsia="Aptos" w:cs="Aptos"/>
          <w:b/>
          <w:bCs/>
        </w:rPr>
        <w:t>%:</w:t>
      </w:r>
      <w:proofErr w:type="gramEnd"/>
      <w:r>
        <w:rPr>
          <w:rFonts w:eastAsia="Aptos" w:cs="Aptos"/>
          <w:b/>
          <w:bCs/>
        </w:rPr>
        <w:t xml:space="preserve"> rendu intermédiaire du document </w:t>
      </w:r>
    </w:p>
    <w:p w14:paraId="20B5D0C9" w14:textId="55DD6E29" w:rsidR="0079208A" w:rsidRDefault="00CC311F" w:rsidP="00757A34">
      <w:pPr>
        <w:pStyle w:val="ListParagraph"/>
        <w:spacing w:after="0" w:line="276" w:lineRule="auto"/>
        <w:ind w:left="1440"/>
        <w:jc w:val="both"/>
        <w:rPr>
          <w:rFonts w:eastAsia="Aptos" w:cs="Aptos"/>
          <w:b/>
          <w:bCs/>
        </w:rPr>
      </w:pPr>
      <w:r>
        <w:rPr>
          <w:rFonts w:eastAsia="Aptos" w:cs="Aptos"/>
        </w:rPr>
        <w:t>–</w:t>
      </w:r>
      <w:r>
        <w:rPr>
          <w:rFonts w:eastAsia="Aptos" w:cs="Aptos"/>
          <w:b/>
          <w:bCs/>
        </w:rPr>
        <w:t xml:space="preserve"> </w:t>
      </w:r>
      <w:r w:rsidRPr="00A20317">
        <w:rPr>
          <w:rFonts w:eastAsia="Aptos" w:cs="Aptos"/>
        </w:rPr>
        <w:t xml:space="preserve">devra être soumis </w:t>
      </w:r>
      <w:r>
        <w:rPr>
          <w:rFonts w:eastAsia="Aptos" w:cs="Aptos"/>
        </w:rPr>
        <w:t>mi-</w:t>
      </w:r>
      <w:r w:rsidRPr="00A20317">
        <w:rPr>
          <w:rFonts w:eastAsia="Aptos" w:cs="Aptos"/>
          <w:b/>
          <w:bCs/>
        </w:rPr>
        <w:t>avril 202</w:t>
      </w:r>
      <w:r w:rsidR="0051376C">
        <w:rPr>
          <w:rFonts w:eastAsia="Aptos" w:cs="Aptos"/>
          <w:b/>
          <w:bCs/>
        </w:rPr>
        <w:t>6</w:t>
      </w:r>
    </w:p>
    <w:p w14:paraId="0248C037" w14:textId="77777777" w:rsidR="00757A34" w:rsidRPr="00757A34" w:rsidRDefault="0079208A" w:rsidP="0079208A">
      <w:pPr>
        <w:pStyle w:val="ListParagraph"/>
        <w:numPr>
          <w:ilvl w:val="1"/>
          <w:numId w:val="1"/>
        </w:numPr>
        <w:spacing w:after="0" w:line="276" w:lineRule="auto"/>
        <w:jc w:val="both"/>
        <w:rPr>
          <w:rFonts w:eastAsia="Aptos" w:cs="Aptos"/>
          <w:b/>
          <w:bCs/>
        </w:rPr>
      </w:pPr>
      <w:r>
        <w:rPr>
          <w:rFonts w:eastAsia="Aptos" w:cs="Aptos"/>
          <w:b/>
          <w:bCs/>
        </w:rPr>
        <w:t xml:space="preserve">40% : rendu final du document : </w:t>
      </w:r>
      <w:r w:rsidRPr="00757A34">
        <w:rPr>
          <w:rFonts w:eastAsia="Aptos" w:cs="Aptos"/>
        </w:rPr>
        <w:t>l</w:t>
      </w:r>
      <w:r w:rsidR="00331D64" w:rsidRPr="00A20317">
        <w:rPr>
          <w:rFonts w:eastAsia="Aptos" w:cs="Aptos"/>
        </w:rPr>
        <w:t>e mémoire final (compris entre</w:t>
      </w:r>
      <w:r w:rsidR="00CC311F">
        <w:rPr>
          <w:rFonts w:eastAsia="Aptos" w:cs="Aptos"/>
        </w:rPr>
        <w:t xml:space="preserve"> 45 000 à 55 000 signes</w:t>
      </w:r>
      <w:r w:rsidR="00331D64" w:rsidRPr="00A20317">
        <w:rPr>
          <w:rFonts w:eastAsia="Aptos" w:cs="Aptos"/>
        </w:rPr>
        <w:t xml:space="preserve">, hors annexes et bibliographie) </w:t>
      </w:r>
    </w:p>
    <w:p w14:paraId="28B2B300" w14:textId="39FA004A" w:rsidR="00331D64" w:rsidRPr="00CC311F" w:rsidRDefault="00CC311F" w:rsidP="00757A34">
      <w:pPr>
        <w:pStyle w:val="ListParagraph"/>
        <w:spacing w:after="0" w:line="276" w:lineRule="auto"/>
        <w:ind w:left="1440"/>
        <w:jc w:val="both"/>
        <w:rPr>
          <w:rFonts w:eastAsia="Aptos" w:cs="Aptos"/>
          <w:b/>
          <w:bCs/>
        </w:rPr>
      </w:pPr>
      <w:r>
        <w:rPr>
          <w:rFonts w:eastAsia="Aptos" w:cs="Aptos"/>
        </w:rPr>
        <w:t>– devra être soumis mi-</w:t>
      </w:r>
      <w:r w:rsidRPr="00CC311F">
        <w:rPr>
          <w:rFonts w:eastAsia="Aptos" w:cs="Aptos"/>
          <w:b/>
          <w:bCs/>
        </w:rPr>
        <w:t>juin 202</w:t>
      </w:r>
      <w:r w:rsidR="0051376C">
        <w:rPr>
          <w:rFonts w:eastAsia="Aptos" w:cs="Aptos"/>
          <w:b/>
          <w:bCs/>
        </w:rPr>
        <w:t>6</w:t>
      </w:r>
      <w:r w:rsidR="00757A34">
        <w:rPr>
          <w:rFonts w:eastAsia="Aptos" w:cs="Aptos"/>
          <w:b/>
          <w:bCs/>
        </w:rPr>
        <w:t> </w:t>
      </w:r>
      <w:r w:rsidR="00757A34" w:rsidRPr="00757A34">
        <w:rPr>
          <w:rFonts w:eastAsia="Aptos" w:cs="Aptos"/>
        </w:rPr>
        <w:t>;</w:t>
      </w:r>
      <w:r w:rsidR="00757A34">
        <w:rPr>
          <w:rFonts w:eastAsia="Aptos" w:cs="Aptos"/>
          <w:b/>
          <w:bCs/>
        </w:rPr>
        <w:t xml:space="preserve"> en même temps que les examens du second semestre. </w:t>
      </w:r>
    </w:p>
    <w:p w14:paraId="6A89BEF8" w14:textId="77777777" w:rsidR="00331D64" w:rsidRPr="00A20317" w:rsidRDefault="00331D64" w:rsidP="00331D64">
      <w:pPr>
        <w:spacing w:after="0" w:line="276" w:lineRule="auto"/>
        <w:jc w:val="both"/>
        <w:rPr>
          <w:rFonts w:eastAsia="Aptos" w:cs="Aptos"/>
        </w:rPr>
      </w:pPr>
    </w:p>
    <w:p w14:paraId="4170243C" w14:textId="77777777" w:rsidR="00331D64" w:rsidRPr="00A20317" w:rsidRDefault="00331D64" w:rsidP="00331D64">
      <w:pPr>
        <w:pStyle w:val="ListParagraph"/>
        <w:spacing w:after="0" w:line="276" w:lineRule="auto"/>
        <w:jc w:val="both"/>
        <w:rPr>
          <w:rFonts w:eastAsia="Aptos" w:cs="Aptos"/>
        </w:rPr>
      </w:pPr>
    </w:p>
    <w:p w14:paraId="062ADA1B" w14:textId="2E2C9572" w:rsidR="00331D64" w:rsidRPr="00A20317" w:rsidRDefault="00331D64" w:rsidP="00331D64">
      <w:pPr>
        <w:spacing w:after="0" w:line="276" w:lineRule="auto"/>
        <w:jc w:val="both"/>
        <w:rPr>
          <w:rFonts w:eastAsia="Aptos" w:cs="Aptos"/>
        </w:rPr>
      </w:pPr>
      <w:r w:rsidRPr="00A20317">
        <w:rPr>
          <w:rFonts w:eastAsia="Aptos" w:cs="Aptos"/>
        </w:rPr>
        <w:t>La langue du cours est le français</w:t>
      </w:r>
      <w:r w:rsidR="00CC311F">
        <w:rPr>
          <w:rFonts w:eastAsia="Aptos" w:cs="Aptos"/>
        </w:rPr>
        <w:t xml:space="preserve"> et en anglais</w:t>
      </w:r>
      <w:r w:rsidRPr="00A20317">
        <w:rPr>
          <w:rFonts w:eastAsia="Aptos" w:cs="Aptos"/>
        </w:rPr>
        <w:t xml:space="preserve">. </w:t>
      </w:r>
      <w:r w:rsidR="00CC311F">
        <w:rPr>
          <w:rFonts w:eastAsia="Aptos" w:cs="Aptos"/>
        </w:rPr>
        <w:t>Le</w:t>
      </w:r>
      <w:r w:rsidRPr="00A20317">
        <w:rPr>
          <w:rFonts w:eastAsia="Aptos" w:cs="Aptos"/>
        </w:rPr>
        <w:t xml:space="preserve"> mémoire collectif pourra être écrit en français ou en anglais</w:t>
      </w:r>
      <w:r w:rsidR="00CC311F">
        <w:rPr>
          <w:rFonts w:eastAsia="Aptos" w:cs="Aptos"/>
        </w:rPr>
        <w:t xml:space="preserve">, selon les règles relatives aux langues propre à chaque Département. </w:t>
      </w:r>
    </w:p>
    <w:p w14:paraId="34FDFC26" w14:textId="77777777" w:rsidR="00331D64" w:rsidRPr="00A20317" w:rsidRDefault="00331D64" w:rsidP="00331D64">
      <w:pPr>
        <w:spacing w:after="0" w:line="276" w:lineRule="auto"/>
        <w:jc w:val="both"/>
        <w:rPr>
          <w:rFonts w:eastAsia="Aptos" w:cs="Aptos"/>
        </w:rPr>
      </w:pPr>
    </w:p>
    <w:p w14:paraId="0EBF1C71" w14:textId="77777777" w:rsidR="00331D64" w:rsidRPr="00A20317" w:rsidRDefault="00331D64" w:rsidP="00331D64">
      <w:pPr>
        <w:pStyle w:val="Heading3"/>
        <w:spacing w:before="281" w:after="281" w:line="276" w:lineRule="auto"/>
        <w:jc w:val="both"/>
      </w:pPr>
      <w:r w:rsidRPr="00A20317">
        <w:rPr>
          <w:rFonts w:eastAsia="Aptos" w:cs="Aptos"/>
          <w:b/>
          <w:bCs/>
        </w:rPr>
        <w:t>Inscription et sélection</w:t>
      </w:r>
    </w:p>
    <w:p w14:paraId="54B2DE56" w14:textId="091AFA46" w:rsidR="00331D64" w:rsidRPr="00A20317" w:rsidRDefault="00331D64" w:rsidP="00331D64">
      <w:pPr>
        <w:spacing w:before="240" w:after="240" w:line="276" w:lineRule="auto"/>
        <w:jc w:val="both"/>
      </w:pPr>
      <w:r w:rsidRPr="00A20317">
        <w:rPr>
          <w:rFonts w:eastAsia="Aptos" w:cs="Aptos"/>
        </w:rPr>
        <w:t xml:space="preserve">Le nombre de places est </w:t>
      </w:r>
      <w:r w:rsidRPr="00A20317">
        <w:rPr>
          <w:rFonts w:eastAsia="Aptos" w:cs="Aptos"/>
          <w:b/>
          <w:bCs/>
        </w:rPr>
        <w:t>limité</w:t>
      </w:r>
      <w:r w:rsidRPr="00A20317">
        <w:rPr>
          <w:rFonts w:eastAsia="Aptos" w:cs="Aptos"/>
        </w:rPr>
        <w:t xml:space="preserve">. Les </w:t>
      </w:r>
      <w:proofErr w:type="spellStart"/>
      <w:r w:rsidRPr="00A20317">
        <w:rPr>
          <w:rFonts w:eastAsia="Aptos" w:cs="Aptos"/>
        </w:rPr>
        <w:t>étudiant·es</w:t>
      </w:r>
      <w:proofErr w:type="spellEnd"/>
      <w:r w:rsidRPr="00A20317">
        <w:rPr>
          <w:rFonts w:eastAsia="Aptos" w:cs="Aptos"/>
        </w:rPr>
        <w:t xml:space="preserve"> intéressés sont invités à soumettre une</w:t>
      </w:r>
      <w:r w:rsidRPr="00A20317">
        <w:rPr>
          <w:rFonts w:eastAsia="Aptos" w:cs="Aptos"/>
          <w:b/>
          <w:bCs/>
        </w:rPr>
        <w:t xml:space="preserve"> candidature</w:t>
      </w:r>
      <w:r w:rsidRPr="00A20317">
        <w:rPr>
          <w:rFonts w:eastAsia="Aptos" w:cs="Aptos"/>
        </w:rPr>
        <w:t xml:space="preserve"> </w:t>
      </w:r>
      <w:r w:rsidRPr="00A20317">
        <w:rPr>
          <w:rFonts w:eastAsia="Aptos" w:cs="Aptos"/>
          <w:b/>
          <w:bCs/>
        </w:rPr>
        <w:t>d’une page</w:t>
      </w:r>
      <w:r w:rsidRPr="00A20317">
        <w:rPr>
          <w:rFonts w:eastAsia="Aptos" w:cs="Aptos"/>
        </w:rPr>
        <w:t xml:space="preserve"> </w:t>
      </w:r>
      <w:r w:rsidRPr="00A20317">
        <w:rPr>
          <w:rFonts w:eastAsia="Aptos" w:cs="Aptos"/>
          <w:b/>
          <w:bCs/>
        </w:rPr>
        <w:t xml:space="preserve">maximum </w:t>
      </w:r>
      <w:r w:rsidRPr="00A20317">
        <w:rPr>
          <w:rFonts w:eastAsia="Aptos" w:cs="Aptos"/>
        </w:rPr>
        <w:t xml:space="preserve">expliquant leur </w:t>
      </w:r>
      <w:r w:rsidRPr="00A04EB4">
        <w:rPr>
          <w:rFonts w:eastAsia="Aptos" w:cs="Aptos"/>
        </w:rPr>
        <w:t>motivation</w:t>
      </w:r>
      <w:r w:rsidRPr="00A20317">
        <w:rPr>
          <w:rFonts w:eastAsia="Aptos" w:cs="Aptos"/>
        </w:rPr>
        <w:t xml:space="preserve"> et leur intérêt pour le sujet des professions européennes ainsi que la ou les professions qu'ils souhaiteraient explorer dans le cadre de leur recherche. Les </w:t>
      </w:r>
      <w:proofErr w:type="spellStart"/>
      <w:r w:rsidRPr="00A20317">
        <w:rPr>
          <w:rFonts w:eastAsia="Aptos" w:cs="Aptos"/>
        </w:rPr>
        <w:t>étudiant·es</w:t>
      </w:r>
      <w:proofErr w:type="spellEnd"/>
      <w:r w:rsidRPr="00A20317">
        <w:rPr>
          <w:rFonts w:eastAsia="Aptos" w:cs="Aptos"/>
        </w:rPr>
        <w:t xml:space="preserve"> peuvent également mentionner leurs éventuelles expériences de recherche précédentes, mais l’expérience en recherche n’est pas un critère </w:t>
      </w:r>
      <w:r w:rsidR="00A04EB4">
        <w:rPr>
          <w:rFonts w:eastAsia="Aptos" w:cs="Aptos"/>
        </w:rPr>
        <w:t xml:space="preserve">préalable </w:t>
      </w:r>
      <w:r w:rsidRPr="00A20317">
        <w:rPr>
          <w:rFonts w:eastAsia="Aptos" w:cs="Aptos"/>
        </w:rPr>
        <w:t xml:space="preserve">de sélection. La date limite de soumission des </w:t>
      </w:r>
      <w:r w:rsidRPr="00A20317">
        <w:rPr>
          <w:rFonts w:eastAsia="Aptos" w:cs="Aptos"/>
        </w:rPr>
        <w:lastRenderedPageBreak/>
        <w:t xml:space="preserve">candidatures est fixée au </w:t>
      </w:r>
      <w:r w:rsidR="00757A34">
        <w:rPr>
          <w:rFonts w:eastAsia="Aptos" w:cs="Aptos"/>
          <w:b/>
          <w:bCs/>
        </w:rPr>
        <w:t>1</w:t>
      </w:r>
      <w:r w:rsidRPr="00A20317">
        <w:rPr>
          <w:rFonts w:eastAsia="Aptos" w:cs="Aptos"/>
          <w:b/>
          <w:bCs/>
        </w:rPr>
        <w:t>5 octobre 202</w:t>
      </w:r>
      <w:r w:rsidR="00757A34">
        <w:rPr>
          <w:rFonts w:eastAsia="Aptos" w:cs="Aptos"/>
          <w:b/>
          <w:bCs/>
        </w:rPr>
        <w:t>5</w:t>
      </w:r>
      <w:r w:rsidRPr="00A20317">
        <w:rPr>
          <w:rFonts w:eastAsia="Aptos" w:cs="Aptos"/>
          <w:b/>
          <w:bCs/>
        </w:rPr>
        <w:t xml:space="preserve"> à 9h00</w:t>
      </w:r>
      <w:r w:rsidR="00757A34">
        <w:rPr>
          <w:rFonts w:eastAsia="Aptos" w:cs="Aptos"/>
          <w:b/>
          <w:bCs/>
        </w:rPr>
        <w:t>(</w:t>
      </w:r>
      <w:proofErr w:type="spellStart"/>
      <w:r w:rsidR="00757A34">
        <w:rPr>
          <w:rFonts w:eastAsia="Aptos" w:cs="Aptos"/>
          <w:b/>
          <w:bCs/>
        </w:rPr>
        <w:t>am</w:t>
      </w:r>
      <w:proofErr w:type="spellEnd"/>
      <w:r w:rsidR="00757A34">
        <w:rPr>
          <w:rFonts w:eastAsia="Aptos" w:cs="Aptos"/>
          <w:b/>
          <w:bCs/>
        </w:rPr>
        <w:t>)</w:t>
      </w:r>
      <w:r w:rsidRPr="00A20317">
        <w:rPr>
          <w:rFonts w:eastAsia="Aptos" w:cs="Aptos"/>
        </w:rPr>
        <w:t xml:space="preserve">. Les candidatures devront être soumise par email à l’adresse suivante : </w:t>
      </w:r>
      <w:hyperlink r:id="rId6" w:history="1">
        <w:r w:rsidRPr="00A20317">
          <w:rPr>
            <w:rStyle w:val="Hyperlink"/>
            <w:rFonts w:eastAsia="Aptos" w:cs="Aptos"/>
          </w:rPr>
          <w:t>marie.acabo@coleurope.eu</w:t>
        </w:r>
      </w:hyperlink>
      <w:r w:rsidRPr="00A20317">
        <w:rPr>
          <w:rFonts w:eastAsia="Aptos" w:cs="Aptos"/>
        </w:rPr>
        <w:t xml:space="preserve">. </w:t>
      </w:r>
    </w:p>
    <w:p w14:paraId="6D08676D" w14:textId="077C709E" w:rsidR="00331D64" w:rsidRPr="00A20317" w:rsidRDefault="00331D64" w:rsidP="00331D64">
      <w:pPr>
        <w:spacing w:before="240" w:after="240" w:line="276" w:lineRule="auto"/>
        <w:jc w:val="both"/>
        <w:rPr>
          <w:rFonts w:eastAsia="Aptos" w:cs="Aptos"/>
        </w:rPr>
      </w:pPr>
      <w:r w:rsidRPr="00A20317">
        <w:rPr>
          <w:rFonts w:eastAsia="Aptos" w:cs="Aptos"/>
          <w:b/>
          <w:bCs/>
        </w:rPr>
        <w:t>Important</w:t>
      </w:r>
      <w:r w:rsidRPr="00A20317">
        <w:rPr>
          <w:rFonts w:eastAsia="Aptos" w:cs="Aptos"/>
        </w:rPr>
        <w:t xml:space="preserve"> : Les </w:t>
      </w:r>
      <w:proofErr w:type="spellStart"/>
      <w:r w:rsidRPr="00A20317">
        <w:rPr>
          <w:rFonts w:eastAsia="Aptos" w:cs="Aptos"/>
        </w:rPr>
        <w:t>étudiant·es</w:t>
      </w:r>
      <w:proofErr w:type="spellEnd"/>
      <w:r w:rsidRPr="00A20317">
        <w:rPr>
          <w:rFonts w:eastAsia="Aptos" w:cs="Aptos"/>
        </w:rPr>
        <w:t xml:space="preserve"> souhaitant s’inscrire </w:t>
      </w:r>
      <w:r w:rsidRPr="00A04EB4">
        <w:rPr>
          <w:rFonts w:eastAsia="Aptos" w:cs="Aptos"/>
          <w:b/>
          <w:bCs/>
        </w:rPr>
        <w:t xml:space="preserve">devront toutefois prendre part au choix des cours </w:t>
      </w:r>
      <w:r w:rsidR="00F87C1C" w:rsidRPr="00A04EB4">
        <w:rPr>
          <w:rFonts w:eastAsia="Aptos" w:cs="Aptos"/>
          <w:b/>
          <w:bCs/>
        </w:rPr>
        <w:t>IDEAS</w:t>
      </w:r>
      <w:r w:rsidRPr="00A04EB4">
        <w:rPr>
          <w:rFonts w:eastAsia="Aptos" w:cs="Aptos"/>
          <w:b/>
          <w:bCs/>
        </w:rPr>
        <w:t xml:space="preserve"> du second semestre</w:t>
      </w:r>
      <w:r w:rsidRPr="00A20317">
        <w:rPr>
          <w:rFonts w:eastAsia="Aptos" w:cs="Aptos"/>
        </w:rPr>
        <w:t xml:space="preserve"> (via le formulaire d’inscription) dans le cas ou leur candidature devait ne pas être acceptée. Une réponse sera donnée début novembre. </w:t>
      </w:r>
    </w:p>
    <w:p w14:paraId="7674A6CC" w14:textId="77777777" w:rsidR="00331D64" w:rsidRPr="00A20317" w:rsidRDefault="00331D64" w:rsidP="00331D64">
      <w:pPr>
        <w:spacing w:before="240" w:after="240" w:line="276" w:lineRule="auto"/>
        <w:jc w:val="both"/>
        <w:rPr>
          <w:rFonts w:eastAsia="Aptos" w:cs="Aptos"/>
        </w:rPr>
      </w:pPr>
    </w:p>
    <w:p w14:paraId="742FD705" w14:textId="7C933C88" w:rsidR="00331D64" w:rsidRPr="00A20317" w:rsidRDefault="00331D64" w:rsidP="00331D64">
      <w:pPr>
        <w:pStyle w:val="Heading3"/>
        <w:spacing w:before="281" w:after="281" w:line="276" w:lineRule="auto"/>
        <w:jc w:val="both"/>
      </w:pPr>
      <w:r w:rsidRPr="00A20317">
        <w:rPr>
          <w:rFonts w:eastAsia="Aptos" w:cs="Aptos"/>
          <w:b/>
          <w:bCs/>
        </w:rPr>
        <w:t xml:space="preserve">Bibliographie </w:t>
      </w:r>
      <w:r w:rsidR="000630B7">
        <w:rPr>
          <w:rFonts w:eastAsia="Aptos" w:cs="Aptos"/>
          <w:b/>
          <w:bCs/>
        </w:rPr>
        <w:t xml:space="preserve">indicative </w:t>
      </w:r>
    </w:p>
    <w:p w14:paraId="3C9CC658"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Style w:val="Strong"/>
          <w:rFonts w:ascii="PT Sans" w:hAnsi="PT Sans"/>
          <w:color w:val="333333"/>
        </w:rPr>
        <w:t>I. Sociologie des professionnels de l’UE (lectures obligatoires)</w:t>
      </w:r>
    </w:p>
    <w:p w14:paraId="6571DF74"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Didier Georgakakis et Martin Westlake, « Seeing into the Trees: Why EU Personnel and Professionals Studies Are Flourishing and Why They Matter », European Politics and Society, 26(2), 2024, p. 234-258.</w:t>
      </w:r>
    </w:p>
    <w:p w14:paraId="5C965BE7"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Didier Georgakakis et Sophia Bordier, « The EU Leadership Constellation: Neither Monist nor Pluralist, but Triarchical. An Analysis of the Profiles of the 300 Dominant Administrative and Political Positions in the EU Institutions in 2021 », European Politics and Society, 26(2), 2024, p. 279-303.</w:t>
      </w:r>
    </w:p>
    <w:p w14:paraId="0F5082F0"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Martin Westlake et Didier Georgakakis, « Conclusions: Into the Forest », European Politics and Society, 26(2), 2025.</w:t>
      </w:r>
    </w:p>
    <w:p w14:paraId="1EBBF8BF"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Niilo Kauppi et Mikael Rask Madsen, « Fields of Global Governance: How Transnational Power Elites Can Make Global Governance Intelligible », in Niilo Kauppi et Mikael Rask Madsen, Transnational Power Elites: The New Professionals of Governance, Law and Security, Routledge, 2013.</w:t>
      </w:r>
    </w:p>
    <w:p w14:paraId="2C427CC6"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Frédéric Lebaron, « Les élites européennes comme champ(s) », Cultures &amp; Conflits, 102, 2016.</w:t>
      </w:r>
    </w:p>
    <w:p w14:paraId="0DB9730D"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Pour les entrées thématiques : Elisabeth Lambert et Hélène Michel (dir.), Dictionnaire des acteurs de l’Europe, Larcier, 2015.</w:t>
      </w:r>
    </w:p>
    <w:p w14:paraId="1E7F7944"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Sébastien Michon et Étienne Ollion, « Retour sur la professionnalisation politique. Revue de littérature critique et perspectives », Sociologie du travail, 60(1), 2018.</w:t>
      </w:r>
    </w:p>
    <w:p w14:paraId="1B5BDA61"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Style w:val="Strong"/>
          <w:rFonts w:ascii="PT Sans" w:hAnsi="PT Sans"/>
          <w:color w:val="333333"/>
        </w:rPr>
        <w:t>II. Complément conceptuel et littérature sur la méthode</w:t>
      </w:r>
    </w:p>
    <w:p w14:paraId="2DD58951"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Entrées “Capital”, “champ”, dans Gisèle Sapiro (dir.), Dictionnaire international Bourdieu, CNRS Éditions, Paris, 2020. </w:t>
      </w:r>
    </w:p>
    <w:p w14:paraId="7401A63D"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lastRenderedPageBreak/>
        <w:t>Sur la question des compétences, voir Didier Georgakakis, « Do skills kill? : Les enjeux de la requalification de la compétence des eurofonctionnaires », Revue française d'administration publique, 2010/1 n° 133, 2010, p.61-80.</w:t>
      </w:r>
    </w:p>
    <w:p w14:paraId="7E536CBD"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Sur la questions de la représentation statistique d’un champ, voir Frédéric Lebaron et Brigitte Leroux, « Géométrie du champ », Actes de la recherche en sciences sociales, 5(200), 2013. p.106-109.</w:t>
      </w:r>
    </w:p>
    <w:p w14:paraId="617F9528"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François Denord, Paul Lagneau-Ymonet, Sylvain Laurense, Vers le haut: Enquêter sur l'élite au pouvoir, La Découverte, 2005. </w:t>
      </w:r>
    </w:p>
    <w:p w14:paraId="7689FB2A"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Barbot Janine, « Mener un entretien de face à face » in Paugam Serge, L'enquête sociologique, Presses Universitaires de France, 2012. p.115-141.</w:t>
      </w:r>
    </w:p>
    <w:p w14:paraId="26758015"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Lebaron Frédéric et Leroux Brigitte « Géométrie du champ », Actes de la recherche en sciences sociales, 2013/5 N° 200, 2013. p.106-109.</w:t>
      </w:r>
    </w:p>
    <w:p w14:paraId="04BF68D8"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Style w:val="Strong"/>
          <w:rFonts w:ascii="PT Sans" w:hAnsi="PT Sans"/>
          <w:color w:val="333333"/>
        </w:rPr>
        <w:t>III. Littérature sur les professions européennes de l’économie</w:t>
      </w:r>
    </w:p>
    <w:p w14:paraId="3E25D753"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Pierre Alayrac, « Concurrence sur la concurrence. La résistible économicisation des pratiques et de l’administration du contrôle des marchés à la Commission européenne (1958-2003) », Revue française de socio-économie, 31, 2023/2, p. 69-88.</w:t>
      </w:r>
    </w:p>
    <w:p w14:paraId="4CC24F1D"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Didier Georgakakis et Frédéric Lebaron, « Yanis (Varoufakis), the Minotaur, and the Field of Eurocracy », Historical Social Research, 43(3), 2018, p. 216-247.</w:t>
      </w:r>
    </w:p>
    <w:p w14:paraId="5561DBB5"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Frédéric Lebaron et Didier Georgakakis, « The Field of European Economic Governance and Austerity Policies: Exploratory Elements (2002–2012) », Political Anthropological Research on International Social Sciences, 2021, p. 1-35.</w:t>
      </w:r>
    </w:p>
    <w:p w14:paraId="2636963B"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Frédéric Lebaron, « Central Bankers in the Contemporary Global Field of Power: A “Social Space” Approach », The Sociological Review, 56(1), 2008, p. 121-144.</w:t>
      </w:r>
    </w:p>
    <w:p w14:paraId="172E295B"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Christian Schmidt-Wellenburg, « Between Science, Economics and Politics: The Changing Face of Political-Economic European Expert Groups (1966–2018) », European Politics and Society, 26(2), 2025, p. 321-345.</w:t>
      </w:r>
    </w:p>
    <w:p w14:paraId="60F54C51"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Stephanie Lee Mudge et Antoine Vauchez, « Too Embedded to Fail: The ECB and the Necessity to Calculate Europe », Historical Social Research, 43(3), 2018, p. 248-273.</w:t>
      </w:r>
    </w:p>
    <w:p w14:paraId="3D7DAB79"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Julien Dufour, « Une cartographie des recrutements du personnel de la Banque centrale européenne en temps de crise (2005-2011) », Revue française d’administration publique, 181, 2022, p. 97-108.</w:t>
      </w:r>
    </w:p>
    <w:p w14:paraId="192817F4"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Style w:val="Strong"/>
          <w:rFonts w:ascii="PT Sans" w:hAnsi="PT Sans"/>
          <w:color w:val="333333"/>
        </w:rPr>
        <w:t>IV. Littérature sur les professions européennes de la politique </w:t>
      </w:r>
    </w:p>
    <w:p w14:paraId="322B9AB2"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lastRenderedPageBreak/>
        <w:t>Georgakakis, Didier et De Lassalle Marine « Genèse et structure d'un capital institutionnel européen : Les très hauts fonctionnaires de la Commission européenne ». Actes de la recherche en sciences sociales, 2007/1 n° 166-167, 2007. p.38-53</w:t>
      </w:r>
    </w:p>
    <w:p w14:paraId="4DDA7B33"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Georgakakis Didier et Bordier Sophia, « The EU Leadership Constellation: Neither Monist nor Pluralist, but Triarchical. An analysis of the Profiles of the 300 Dominant Administrative and Political Positions in the EU institutions in 2021 », to be pusblished. </w:t>
      </w:r>
    </w:p>
    <w:p w14:paraId="51B539E1"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Michon Sébastien, « Assistant parlementaire au Parlement européen : un tremplin pour une carrière européenne », Sociologie du travail, 50 (2), 2008. </w:t>
      </w:r>
    </w:p>
    <w:p w14:paraId="307A4B39"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Style w:val="Strong"/>
          <w:rFonts w:ascii="PT Sans" w:hAnsi="PT Sans"/>
          <w:color w:val="333333"/>
        </w:rPr>
        <w:t>V. Littérature sur les représentant·es d’intérêt (lobbying)</w:t>
      </w:r>
    </w:p>
    <w:p w14:paraId="5EA4A56B"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Behr Valentin et Michon Sebastien, “Beyond the revolving door  professional paths of accredited parliamentary assistants after the European parliament”, European Politics and Society,  2024, pp. 1-20 </w:t>
      </w:r>
    </w:p>
    <w:p w14:paraId="6D6AE04C"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Michel Hélène et Courty Guillaume, « Groupes d’intérêts et lobbyistes dans l’espace public européen</w:t>
      </w:r>
      <w:r>
        <w:rPr>
          <w:rFonts w:ascii="Arial" w:hAnsi="Arial" w:cs="Arial"/>
          <w:color w:val="333333"/>
        </w:rPr>
        <w:t> </w:t>
      </w:r>
      <w:r>
        <w:rPr>
          <w:rFonts w:ascii="PT Sans" w:hAnsi="PT Sans"/>
          <w:color w:val="333333"/>
        </w:rPr>
        <w:t>: des permanents de l’eurocratie », in Didier Georgakakis, Le champ de l’Eurocratie. Une sociologie politique du personnel de l’UE, Economica, Paris, 2012.  </w:t>
      </w:r>
    </w:p>
    <w:p w14:paraId="382BA910"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Cécile Robert, « La politique européenne de transparence (2005-2016): de la contestation à la consécration du lobbying », Gouvernement et action publique, 1, 2017. pp. 9</w:t>
      </w:r>
      <w:r>
        <w:rPr>
          <w:rFonts w:ascii="PT Sans" w:hAnsi="PT Sans"/>
          <w:color w:val="333333"/>
        </w:rPr>
        <w:noBreakHyphen/>
        <w:t>32.</w:t>
      </w:r>
      <w:r>
        <w:rPr>
          <w:rFonts w:ascii="PT Sans" w:hAnsi="PT Sans"/>
          <w:color w:val="333333"/>
        </w:rPr>
        <w:br/>
        <w:t>Cécile Robert, Willy Beauvallet, Political Sociology Perspectives on Lobbying in the EU, Palgrave, 2025. Accessible here : </w:t>
      </w:r>
      <w:hyperlink r:id="rId7" w:anchor="about-this-book" w:tgtFrame="_blank" w:history="1">
        <w:r>
          <w:rPr>
            <w:rStyle w:val="Hyperlink"/>
            <w:rFonts w:ascii="PT Sans" w:hAnsi="PT Sans"/>
            <w:color w:val="60B2E5"/>
          </w:rPr>
          <w:t>https://link.springer.com/book/10.1007/978-3-031-81328-3#about-this-book</w:t>
        </w:r>
      </w:hyperlink>
    </w:p>
    <w:p w14:paraId="7E01A266"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Style w:val="Strong"/>
          <w:rFonts w:ascii="PT Sans" w:hAnsi="PT Sans"/>
          <w:color w:val="333333"/>
        </w:rPr>
        <w:t>VI. Littérature sur les professions européennes du droit  </w:t>
      </w:r>
    </w:p>
    <w:p w14:paraId="1FC03039"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Antoine Vauchez et Bruno de Witte (dir.), Lawyering Europe: European Law as a Transnational Social Field, Hart Publishing, 2013.</w:t>
      </w:r>
    </w:p>
    <w:p w14:paraId="2B06B647"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Antoine Vauchez, Brokering Europe: Euro-Lawyers and the Making of a Transnational Polity, Cambridge University Press, 2015.</w:t>
      </w:r>
    </w:p>
    <w:p w14:paraId="3B8B84C8"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Antoine Mégie et Guillaume Sacriste, « Polilexes: Champ juridique européen et polity communautaire », Politique européenne, 2009, p. 157-159.</w:t>
      </w:r>
    </w:p>
    <w:p w14:paraId="7271AEF7"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Antoine Vauchez, « The Force of a Weak Field: Law and Lawyers in the Government of the European Union (For a Renewed Research Agenda) », International Political Sociology, 2008, p. 128.</w:t>
      </w:r>
    </w:p>
    <w:p w14:paraId="0E52306C"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lastRenderedPageBreak/>
        <w:t>Antonin Cohen, « “Dix personnages majestueux en longue robe amarante”. La formation de la Cour de justice des Communautés européennes », Revue française de science politique, 60(2), 2010.</w:t>
      </w:r>
    </w:p>
    <w:p w14:paraId="021847ED"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Antonin Cohen et Antoine Vauchez, « Sociologie politique de l’Europe du droit », Revue française de science politique, 60(2), 2010, p. 223-226.</w:t>
      </w:r>
    </w:p>
    <w:p w14:paraId="788BF469"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Style w:val="Strong"/>
          <w:rFonts w:ascii="PT Sans" w:hAnsi="PT Sans"/>
          <w:color w:val="333333"/>
        </w:rPr>
        <w:t>VII. Littérature sur les professions européennes de la diplomatie </w:t>
      </w:r>
    </w:p>
    <w:p w14:paraId="2C2C4B85"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David Spence et Jozef Bátora (dir.), The European External Action Service: European Diplomacy Post-Westphalia, Palgrave Macmillan, 2015.</w:t>
      </w:r>
    </w:p>
    <w:p w14:paraId="3A5A02F6"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 et notamment les chapitres suivants : </w:t>
      </w:r>
    </w:p>
    <w:p w14:paraId="2A306272"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David Spence, « The EEAS and Its Epistemic Communities: The Challenges of Diplomatic Hybridism  »</w:t>
      </w:r>
    </w:p>
    <w:p w14:paraId="1D3D8968"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Rebecca Adler-Nissen, « European Diplomats: State Mobility and the Invention of a New Social Group »</w:t>
      </w:r>
    </w:p>
    <w:p w14:paraId="5CCD1406"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Rebecca Adler-Nissen, « Theorising the EU’s Diplomatic Service: Rational Player or Social Body? », Review of International Studies, 40, 2014, p. 657-681.</w:t>
      </w:r>
    </w:p>
    <w:p w14:paraId="428621B1"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Niklas Helwig, The EU High Representative: Foreign Policy Leadership in a Changing World, Palgrave Macmillan, 2015.</w:t>
      </w:r>
    </w:p>
    <w:p w14:paraId="2EC75247"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Rebecca Adler-Nissen, « Symbolic Power in European Diplomacy: The Struggle Between National Foreign Services and the EU’s External Action Service », Review of International Studies, 40, 2014, p. 657-681.</w:t>
      </w:r>
    </w:p>
    <w:p w14:paraId="2FAC3281"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Merje Kuus, « Symbolic Power in Diplomatic Practice: Matters of Style in Brussels », Cooperation and Conflict, 50(3), 2015, p. 368-384.</w:t>
      </w:r>
    </w:p>
    <w:p w14:paraId="7C1A47FD"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Didier Georgakakis et. al., « Who are the European Union’s Top Diplomats? Towards a Political Sociology of the European External Action Service’s Leadership », Paper presented at the European Union in international Affairs Conference, May 2025. </w:t>
      </w:r>
    </w:p>
    <w:p w14:paraId="1748BFE8" w14:textId="77777777" w:rsidR="0058341B" w:rsidRDefault="0058341B" w:rsidP="0058341B">
      <w:pPr>
        <w:pStyle w:val="NormalWeb"/>
        <w:shd w:val="clear" w:color="auto" w:fill="FFFFFF"/>
        <w:spacing w:before="0" w:beforeAutospacing="0" w:after="300" w:afterAutospacing="0"/>
        <w:rPr>
          <w:rFonts w:ascii="PT Sans" w:hAnsi="PT Sans"/>
          <w:color w:val="333333"/>
        </w:rPr>
      </w:pPr>
      <w:r>
        <w:rPr>
          <w:rFonts w:ascii="PT Sans" w:hAnsi="PT Sans"/>
          <w:color w:val="333333"/>
        </w:rPr>
        <w:t> </w:t>
      </w:r>
    </w:p>
    <w:p w14:paraId="79D85792" w14:textId="77777777" w:rsidR="000A5B6C" w:rsidRPr="0058341B" w:rsidRDefault="000A5B6C" w:rsidP="0058341B">
      <w:pPr>
        <w:pStyle w:val="ListParagraph"/>
        <w:numPr>
          <w:ilvl w:val="0"/>
          <w:numId w:val="2"/>
        </w:numPr>
        <w:spacing w:after="0" w:line="240" w:lineRule="auto"/>
        <w:rPr>
          <w:lang w:val="en-US"/>
        </w:rPr>
      </w:pPr>
    </w:p>
    <w:sectPr w:rsidR="000A5B6C" w:rsidRPr="0058341B" w:rsidSect="00331D6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000000000000000"/>
    <w:charset w:val="00"/>
    <w:family w:val="auto"/>
    <w:pitch w:val="variable"/>
    <w:sig w:usb0="E00002FF" w:usb1="5000205A" w:usb2="00000000" w:usb3="00000000" w:csb0="0000019F" w:csb1="00000000"/>
  </w:font>
  <w:font w:name="Roboto">
    <w:panose1 w:val="00000000000000000000"/>
    <w:charset w:val="00"/>
    <w:family w:val="auto"/>
    <w:pitch w:val="variable"/>
    <w:sig w:usb0="E00002FF" w:usb1="5000205B" w:usb2="00000020" w:usb3="00000000" w:csb0="0000019F" w:csb1="00000000"/>
  </w:font>
  <w:font w:name="PT Sans">
    <w:panose1 w:val="020B0503020203020204"/>
    <w:charset w:val="4D"/>
    <w:family w:val="swiss"/>
    <w:pitch w:val="variable"/>
    <w:sig w:usb0="A00002EF" w:usb1="5000204B" w:usb2="00000000" w:usb3="00000000" w:csb0="00000097"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4C361"/>
    <w:multiLevelType w:val="hybridMultilevel"/>
    <w:tmpl w:val="FFFFFFFF"/>
    <w:lvl w:ilvl="0" w:tplc="EFA069E0">
      <w:start w:val="1"/>
      <w:numFmt w:val="bullet"/>
      <w:lvlText w:val=""/>
      <w:lvlJc w:val="left"/>
      <w:pPr>
        <w:ind w:left="720" w:hanging="360"/>
      </w:pPr>
      <w:rPr>
        <w:rFonts w:ascii="Symbol" w:hAnsi="Symbol" w:hint="default"/>
      </w:rPr>
    </w:lvl>
    <w:lvl w:ilvl="1" w:tplc="2FDC66FC">
      <w:start w:val="1"/>
      <w:numFmt w:val="bullet"/>
      <w:lvlText w:val="o"/>
      <w:lvlJc w:val="left"/>
      <w:pPr>
        <w:ind w:left="1440" w:hanging="360"/>
      </w:pPr>
      <w:rPr>
        <w:rFonts w:ascii="Courier New" w:hAnsi="Courier New" w:hint="default"/>
      </w:rPr>
    </w:lvl>
    <w:lvl w:ilvl="2" w:tplc="44F613FA">
      <w:start w:val="1"/>
      <w:numFmt w:val="bullet"/>
      <w:lvlText w:val=""/>
      <w:lvlJc w:val="left"/>
      <w:pPr>
        <w:ind w:left="2160" w:hanging="360"/>
      </w:pPr>
      <w:rPr>
        <w:rFonts w:ascii="Wingdings" w:hAnsi="Wingdings" w:hint="default"/>
      </w:rPr>
    </w:lvl>
    <w:lvl w:ilvl="3" w:tplc="CFCA325A">
      <w:start w:val="1"/>
      <w:numFmt w:val="bullet"/>
      <w:lvlText w:val=""/>
      <w:lvlJc w:val="left"/>
      <w:pPr>
        <w:ind w:left="2880" w:hanging="360"/>
      </w:pPr>
      <w:rPr>
        <w:rFonts w:ascii="Symbol" w:hAnsi="Symbol" w:hint="default"/>
      </w:rPr>
    </w:lvl>
    <w:lvl w:ilvl="4" w:tplc="0A64F222">
      <w:start w:val="1"/>
      <w:numFmt w:val="bullet"/>
      <w:lvlText w:val="o"/>
      <w:lvlJc w:val="left"/>
      <w:pPr>
        <w:ind w:left="3600" w:hanging="360"/>
      </w:pPr>
      <w:rPr>
        <w:rFonts w:ascii="Courier New" w:hAnsi="Courier New" w:hint="default"/>
      </w:rPr>
    </w:lvl>
    <w:lvl w:ilvl="5" w:tplc="87ECFC1C">
      <w:start w:val="1"/>
      <w:numFmt w:val="bullet"/>
      <w:lvlText w:val=""/>
      <w:lvlJc w:val="left"/>
      <w:pPr>
        <w:ind w:left="4320" w:hanging="360"/>
      </w:pPr>
      <w:rPr>
        <w:rFonts w:ascii="Wingdings" w:hAnsi="Wingdings" w:hint="default"/>
      </w:rPr>
    </w:lvl>
    <w:lvl w:ilvl="6" w:tplc="62C8FFE6">
      <w:start w:val="1"/>
      <w:numFmt w:val="bullet"/>
      <w:lvlText w:val=""/>
      <w:lvlJc w:val="left"/>
      <w:pPr>
        <w:ind w:left="5040" w:hanging="360"/>
      </w:pPr>
      <w:rPr>
        <w:rFonts w:ascii="Symbol" w:hAnsi="Symbol" w:hint="default"/>
      </w:rPr>
    </w:lvl>
    <w:lvl w:ilvl="7" w:tplc="A0B82178">
      <w:start w:val="1"/>
      <w:numFmt w:val="bullet"/>
      <w:lvlText w:val="o"/>
      <w:lvlJc w:val="left"/>
      <w:pPr>
        <w:ind w:left="5760" w:hanging="360"/>
      </w:pPr>
      <w:rPr>
        <w:rFonts w:ascii="Courier New" w:hAnsi="Courier New" w:hint="default"/>
      </w:rPr>
    </w:lvl>
    <w:lvl w:ilvl="8" w:tplc="78D29C40">
      <w:start w:val="1"/>
      <w:numFmt w:val="bullet"/>
      <w:lvlText w:val=""/>
      <w:lvlJc w:val="left"/>
      <w:pPr>
        <w:ind w:left="6480" w:hanging="360"/>
      </w:pPr>
      <w:rPr>
        <w:rFonts w:ascii="Wingdings" w:hAnsi="Wingdings" w:hint="default"/>
      </w:rPr>
    </w:lvl>
  </w:abstractNum>
  <w:abstractNum w:abstractNumId="1" w15:restartNumberingAfterBreak="0">
    <w:nsid w:val="23FB04BE"/>
    <w:multiLevelType w:val="hybridMultilevel"/>
    <w:tmpl w:val="C7AC9E92"/>
    <w:lvl w:ilvl="0" w:tplc="5FA829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721558">
    <w:abstractNumId w:val="0"/>
  </w:num>
  <w:num w:numId="2" w16cid:durableId="129375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64"/>
    <w:rsid w:val="000630B7"/>
    <w:rsid w:val="000A5B6C"/>
    <w:rsid w:val="001B3DC8"/>
    <w:rsid w:val="002F5520"/>
    <w:rsid w:val="00331D64"/>
    <w:rsid w:val="003F36BB"/>
    <w:rsid w:val="004439A4"/>
    <w:rsid w:val="0051376C"/>
    <w:rsid w:val="00514C82"/>
    <w:rsid w:val="0058341B"/>
    <w:rsid w:val="006A2E20"/>
    <w:rsid w:val="006B0823"/>
    <w:rsid w:val="006D2FFC"/>
    <w:rsid w:val="00757A34"/>
    <w:rsid w:val="0079208A"/>
    <w:rsid w:val="00863B2B"/>
    <w:rsid w:val="0087262A"/>
    <w:rsid w:val="008833B4"/>
    <w:rsid w:val="009128EA"/>
    <w:rsid w:val="009E7DEF"/>
    <w:rsid w:val="009F1AA2"/>
    <w:rsid w:val="00A04EB4"/>
    <w:rsid w:val="00AC2E61"/>
    <w:rsid w:val="00B33797"/>
    <w:rsid w:val="00BC3967"/>
    <w:rsid w:val="00C83927"/>
    <w:rsid w:val="00CC311F"/>
    <w:rsid w:val="00E16F31"/>
    <w:rsid w:val="00E338C7"/>
    <w:rsid w:val="00E470E1"/>
    <w:rsid w:val="00F537CE"/>
    <w:rsid w:val="00F87C1C"/>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718FF2BD"/>
  <w15:chartTrackingRefBased/>
  <w15:docId w15:val="{98D259E5-8C24-D74D-81A4-CBEB9B8C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64"/>
    <w:pPr>
      <w:spacing w:after="160" w:line="279" w:lineRule="auto"/>
    </w:pPr>
    <w:rPr>
      <w:lang w:val="fr-FR"/>
    </w:rPr>
  </w:style>
  <w:style w:type="paragraph" w:styleId="Heading1">
    <w:name w:val="heading 1"/>
    <w:basedOn w:val="Normal"/>
    <w:next w:val="Normal"/>
    <w:link w:val="Heading1Char"/>
    <w:uiPriority w:val="9"/>
    <w:qFormat/>
    <w:rsid w:val="00BC3967"/>
    <w:pPr>
      <w:keepNext/>
      <w:keepLines/>
      <w:spacing w:before="480" w:after="200"/>
      <w:outlineLvl w:val="0"/>
    </w:pPr>
    <w:rPr>
      <w:rFonts w:asciiTheme="majorHAnsi" w:eastAsiaTheme="majorEastAsia" w:hAnsiTheme="majorHAnsi" w:cstheme="majorBidi"/>
      <w:color w:val="000000" w:themeColor="text1"/>
      <w:sz w:val="32"/>
      <w:szCs w:val="40"/>
    </w:rPr>
  </w:style>
  <w:style w:type="paragraph" w:styleId="Heading2">
    <w:name w:val="heading 2"/>
    <w:basedOn w:val="Normal"/>
    <w:next w:val="Normal"/>
    <w:link w:val="Heading2Char"/>
    <w:uiPriority w:val="9"/>
    <w:semiHidden/>
    <w:unhideWhenUsed/>
    <w:qFormat/>
    <w:rsid w:val="00331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1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D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D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D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D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67"/>
    <w:rPr>
      <w:rFonts w:asciiTheme="majorHAnsi" w:eastAsiaTheme="majorEastAsia" w:hAnsiTheme="majorHAnsi" w:cstheme="majorBidi"/>
      <w:color w:val="000000" w:themeColor="text1"/>
      <w:sz w:val="32"/>
      <w:szCs w:val="40"/>
    </w:rPr>
  </w:style>
  <w:style w:type="paragraph" w:customStyle="1" w:styleId="FOOTNOTES">
    <w:name w:val="FOOTNOTES"/>
    <w:basedOn w:val="FootnoteText"/>
    <w:next w:val="FootnoteText"/>
    <w:autoRedefine/>
    <w:qFormat/>
    <w:rsid w:val="006D2FFC"/>
  </w:style>
  <w:style w:type="paragraph" w:styleId="FootnoteText">
    <w:name w:val="footnote text"/>
    <w:basedOn w:val="Normal"/>
    <w:link w:val="FootnoteTextChar"/>
    <w:uiPriority w:val="99"/>
    <w:semiHidden/>
    <w:unhideWhenUsed/>
    <w:rsid w:val="006D2FFC"/>
    <w:pPr>
      <w:spacing w:line="240" w:lineRule="auto"/>
    </w:pPr>
    <w:rPr>
      <w:sz w:val="20"/>
      <w:szCs w:val="20"/>
    </w:rPr>
  </w:style>
  <w:style w:type="character" w:customStyle="1" w:styleId="FootnoteTextChar">
    <w:name w:val="Footnote Text Char"/>
    <w:basedOn w:val="DefaultParagraphFont"/>
    <w:link w:val="FootnoteText"/>
    <w:uiPriority w:val="99"/>
    <w:semiHidden/>
    <w:rsid w:val="006D2FFC"/>
    <w:rPr>
      <w:rFonts w:ascii="Times" w:hAnsi="Times"/>
      <w:sz w:val="20"/>
      <w:szCs w:val="20"/>
      <w:lang w:val="fr-FR"/>
    </w:rPr>
  </w:style>
  <w:style w:type="character" w:customStyle="1" w:styleId="Heading2Char">
    <w:name w:val="Heading 2 Char"/>
    <w:basedOn w:val="DefaultParagraphFont"/>
    <w:link w:val="Heading2"/>
    <w:uiPriority w:val="9"/>
    <w:semiHidden/>
    <w:rsid w:val="00331D64"/>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rsid w:val="00331D64"/>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331D64"/>
    <w:rPr>
      <w:rFonts w:eastAsiaTheme="majorEastAsia" w:cstheme="majorBidi"/>
      <w:i/>
      <w:iCs/>
      <w:color w:val="0F4761" w:themeColor="accent1" w:themeShade="BF"/>
      <w:sz w:val="22"/>
      <w:lang w:val="fr-FR"/>
    </w:rPr>
  </w:style>
  <w:style w:type="character" w:customStyle="1" w:styleId="Heading5Char">
    <w:name w:val="Heading 5 Char"/>
    <w:basedOn w:val="DefaultParagraphFont"/>
    <w:link w:val="Heading5"/>
    <w:uiPriority w:val="9"/>
    <w:semiHidden/>
    <w:rsid w:val="00331D64"/>
    <w:rPr>
      <w:rFonts w:eastAsiaTheme="majorEastAsia" w:cstheme="majorBidi"/>
      <w:color w:val="0F4761" w:themeColor="accent1" w:themeShade="BF"/>
      <w:sz w:val="22"/>
      <w:lang w:val="fr-FR"/>
    </w:rPr>
  </w:style>
  <w:style w:type="character" w:customStyle="1" w:styleId="Heading6Char">
    <w:name w:val="Heading 6 Char"/>
    <w:basedOn w:val="DefaultParagraphFont"/>
    <w:link w:val="Heading6"/>
    <w:uiPriority w:val="9"/>
    <w:semiHidden/>
    <w:rsid w:val="00331D64"/>
    <w:rPr>
      <w:rFonts w:eastAsiaTheme="majorEastAsia" w:cstheme="majorBidi"/>
      <w:i/>
      <w:iCs/>
      <w:color w:val="595959" w:themeColor="text1" w:themeTint="A6"/>
      <w:sz w:val="22"/>
      <w:lang w:val="fr-FR"/>
    </w:rPr>
  </w:style>
  <w:style w:type="character" w:customStyle="1" w:styleId="Heading7Char">
    <w:name w:val="Heading 7 Char"/>
    <w:basedOn w:val="DefaultParagraphFont"/>
    <w:link w:val="Heading7"/>
    <w:uiPriority w:val="9"/>
    <w:semiHidden/>
    <w:rsid w:val="00331D64"/>
    <w:rPr>
      <w:rFonts w:eastAsiaTheme="majorEastAsia" w:cstheme="majorBidi"/>
      <w:color w:val="595959" w:themeColor="text1" w:themeTint="A6"/>
      <w:sz w:val="22"/>
      <w:lang w:val="fr-FR"/>
    </w:rPr>
  </w:style>
  <w:style w:type="character" w:customStyle="1" w:styleId="Heading8Char">
    <w:name w:val="Heading 8 Char"/>
    <w:basedOn w:val="DefaultParagraphFont"/>
    <w:link w:val="Heading8"/>
    <w:uiPriority w:val="9"/>
    <w:semiHidden/>
    <w:rsid w:val="00331D64"/>
    <w:rPr>
      <w:rFonts w:eastAsiaTheme="majorEastAsia" w:cstheme="majorBidi"/>
      <w:i/>
      <w:iCs/>
      <w:color w:val="272727" w:themeColor="text1" w:themeTint="D8"/>
      <w:sz w:val="22"/>
      <w:lang w:val="fr-FR"/>
    </w:rPr>
  </w:style>
  <w:style w:type="character" w:customStyle="1" w:styleId="Heading9Char">
    <w:name w:val="Heading 9 Char"/>
    <w:basedOn w:val="DefaultParagraphFont"/>
    <w:link w:val="Heading9"/>
    <w:uiPriority w:val="9"/>
    <w:semiHidden/>
    <w:rsid w:val="00331D64"/>
    <w:rPr>
      <w:rFonts w:eastAsiaTheme="majorEastAsia" w:cstheme="majorBidi"/>
      <w:color w:val="272727" w:themeColor="text1" w:themeTint="D8"/>
      <w:sz w:val="22"/>
      <w:lang w:val="fr-FR"/>
    </w:rPr>
  </w:style>
  <w:style w:type="paragraph" w:styleId="Title">
    <w:name w:val="Title"/>
    <w:basedOn w:val="Normal"/>
    <w:next w:val="Normal"/>
    <w:link w:val="TitleChar"/>
    <w:uiPriority w:val="10"/>
    <w:qFormat/>
    <w:rsid w:val="00331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D64"/>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331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D64"/>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331D64"/>
    <w:pPr>
      <w:spacing w:before="160"/>
      <w:jc w:val="center"/>
    </w:pPr>
    <w:rPr>
      <w:i/>
      <w:iCs/>
      <w:color w:val="404040" w:themeColor="text1" w:themeTint="BF"/>
    </w:rPr>
  </w:style>
  <w:style w:type="character" w:customStyle="1" w:styleId="QuoteChar">
    <w:name w:val="Quote Char"/>
    <w:basedOn w:val="DefaultParagraphFont"/>
    <w:link w:val="Quote"/>
    <w:uiPriority w:val="29"/>
    <w:rsid w:val="00331D64"/>
    <w:rPr>
      <w:rFonts w:ascii="Times" w:hAnsi="Times"/>
      <w:i/>
      <w:iCs/>
      <w:color w:val="404040" w:themeColor="text1" w:themeTint="BF"/>
      <w:sz w:val="22"/>
      <w:lang w:val="fr-FR"/>
    </w:rPr>
  </w:style>
  <w:style w:type="paragraph" w:styleId="ListParagraph">
    <w:name w:val="List Paragraph"/>
    <w:basedOn w:val="Normal"/>
    <w:uiPriority w:val="34"/>
    <w:qFormat/>
    <w:rsid w:val="00331D64"/>
    <w:pPr>
      <w:ind w:left="720"/>
      <w:contextualSpacing/>
    </w:pPr>
  </w:style>
  <w:style w:type="character" w:styleId="IntenseEmphasis">
    <w:name w:val="Intense Emphasis"/>
    <w:basedOn w:val="DefaultParagraphFont"/>
    <w:uiPriority w:val="21"/>
    <w:qFormat/>
    <w:rsid w:val="00331D64"/>
    <w:rPr>
      <w:i/>
      <w:iCs/>
      <w:color w:val="0F4761" w:themeColor="accent1" w:themeShade="BF"/>
    </w:rPr>
  </w:style>
  <w:style w:type="paragraph" w:styleId="IntenseQuote">
    <w:name w:val="Intense Quote"/>
    <w:basedOn w:val="Normal"/>
    <w:next w:val="Normal"/>
    <w:link w:val="IntenseQuoteChar"/>
    <w:uiPriority w:val="30"/>
    <w:qFormat/>
    <w:rsid w:val="00331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D64"/>
    <w:rPr>
      <w:rFonts w:ascii="Times" w:hAnsi="Times"/>
      <w:i/>
      <w:iCs/>
      <w:color w:val="0F4761" w:themeColor="accent1" w:themeShade="BF"/>
      <w:sz w:val="22"/>
      <w:lang w:val="fr-FR"/>
    </w:rPr>
  </w:style>
  <w:style w:type="character" w:styleId="IntenseReference">
    <w:name w:val="Intense Reference"/>
    <w:basedOn w:val="DefaultParagraphFont"/>
    <w:uiPriority w:val="32"/>
    <w:qFormat/>
    <w:rsid w:val="00331D64"/>
    <w:rPr>
      <w:b/>
      <w:bCs/>
      <w:smallCaps/>
      <w:color w:val="0F4761" w:themeColor="accent1" w:themeShade="BF"/>
      <w:spacing w:val="5"/>
    </w:rPr>
  </w:style>
  <w:style w:type="paragraph" w:styleId="NoSpacing">
    <w:name w:val="No Spacing"/>
    <w:uiPriority w:val="1"/>
    <w:qFormat/>
    <w:rsid w:val="00331D64"/>
    <w:rPr>
      <w:lang w:val="fr-FR"/>
    </w:rPr>
  </w:style>
  <w:style w:type="character" w:styleId="Hyperlink">
    <w:name w:val="Hyperlink"/>
    <w:basedOn w:val="DefaultParagraphFont"/>
    <w:uiPriority w:val="99"/>
    <w:unhideWhenUsed/>
    <w:rsid w:val="00331D64"/>
    <w:rPr>
      <w:color w:val="467886" w:themeColor="hyperlink"/>
      <w:u w:val="single"/>
    </w:rPr>
  </w:style>
  <w:style w:type="character" w:styleId="UnresolvedMention">
    <w:name w:val="Unresolved Mention"/>
    <w:basedOn w:val="DefaultParagraphFont"/>
    <w:uiPriority w:val="99"/>
    <w:semiHidden/>
    <w:unhideWhenUsed/>
    <w:rsid w:val="0058341B"/>
    <w:rPr>
      <w:color w:val="605E5C"/>
      <w:shd w:val="clear" w:color="auto" w:fill="E1DFDD"/>
    </w:rPr>
  </w:style>
  <w:style w:type="paragraph" w:styleId="NormalWeb">
    <w:name w:val="Normal (Web)"/>
    <w:basedOn w:val="Normal"/>
    <w:uiPriority w:val="99"/>
    <w:semiHidden/>
    <w:unhideWhenUsed/>
    <w:rsid w:val="0058341B"/>
    <w:pPr>
      <w:spacing w:before="100" w:beforeAutospacing="1" w:after="100" w:afterAutospacing="1" w:line="240" w:lineRule="auto"/>
    </w:pPr>
    <w:rPr>
      <w:rFonts w:ascii="Times New Roman" w:eastAsia="Times New Roman" w:hAnsi="Times New Roman" w:cs="Times New Roman"/>
      <w:lang w:val="en-FR"/>
    </w:rPr>
  </w:style>
  <w:style w:type="character" w:styleId="Strong">
    <w:name w:val="Strong"/>
    <w:basedOn w:val="DefaultParagraphFont"/>
    <w:uiPriority w:val="22"/>
    <w:qFormat/>
    <w:rsid w:val="00583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537622">
      <w:bodyDiv w:val="1"/>
      <w:marLeft w:val="0"/>
      <w:marRight w:val="0"/>
      <w:marTop w:val="0"/>
      <w:marBottom w:val="0"/>
      <w:divBdr>
        <w:top w:val="none" w:sz="0" w:space="0" w:color="auto"/>
        <w:left w:val="none" w:sz="0" w:space="0" w:color="auto"/>
        <w:bottom w:val="none" w:sz="0" w:space="0" w:color="auto"/>
        <w:right w:val="none" w:sz="0" w:space="0" w:color="auto"/>
      </w:divBdr>
    </w:div>
    <w:div w:id="1373111534">
      <w:bodyDiv w:val="1"/>
      <w:marLeft w:val="0"/>
      <w:marRight w:val="0"/>
      <w:marTop w:val="0"/>
      <w:marBottom w:val="0"/>
      <w:divBdr>
        <w:top w:val="none" w:sz="0" w:space="0" w:color="auto"/>
        <w:left w:val="none" w:sz="0" w:space="0" w:color="auto"/>
        <w:bottom w:val="none" w:sz="0" w:space="0" w:color="auto"/>
        <w:right w:val="none" w:sz="0" w:space="0" w:color="auto"/>
      </w:divBdr>
    </w:div>
    <w:div w:id="157608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book/10.1007/978-3-031-8132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e.acabo@coleurope.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2511</Words>
  <Characters>13640</Characters>
  <Application>Microsoft Office Word</Application>
  <DocSecurity>0</DocSecurity>
  <Lines>194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ACABO Marie</dc:creator>
  <cp:keywords/>
  <dc:description/>
  <cp:lastModifiedBy>ACABO Marie</cp:lastModifiedBy>
  <cp:revision>7</cp:revision>
  <dcterms:created xsi:type="dcterms:W3CDTF">2025-09-30T15:53:00Z</dcterms:created>
  <dcterms:modified xsi:type="dcterms:W3CDTF">2025-11-25T11:31:00Z</dcterms:modified>
</cp:coreProperties>
</file>